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16.12.2013 N 517-пп</w:t>
              <w:br/>
              <w:t xml:space="preserve">(ред. от 06.02.2023)</w:t>
              <w:br/>
              <w:t xml:space="preserve">"Об утверждении государственной программы Белгородской области "Развитие водного и лесного хозяйства Белгородской области, охрана окружающей среды"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16 декабря 2013 г. N 517-пп</w:t>
      </w:r>
    </w:p>
    <w:p>
      <w:pPr>
        <w:pStyle w:val="2"/>
        <w:jc w:val="center"/>
      </w:pPr>
      <w:r>
        <w:rPr>
          <w:sz w:val="20"/>
        </w:rPr>
      </w:r>
    </w:p>
    <w:p>
      <w:pPr>
        <w:pStyle w:val="2"/>
        <w:jc w:val="center"/>
      </w:pPr>
      <w:r>
        <w:rPr>
          <w:sz w:val="20"/>
        </w:rPr>
        <w:t xml:space="preserve">ОБ УТВЕРЖДЕНИИ ГОСУДАРСТВЕННОЙ ПРОГРАММЫ БЕЛГОРОДСКОЙ</w:t>
      </w:r>
    </w:p>
    <w:p>
      <w:pPr>
        <w:pStyle w:val="2"/>
        <w:jc w:val="center"/>
      </w:pPr>
      <w:r>
        <w:rPr>
          <w:sz w:val="20"/>
        </w:rPr>
        <w:t xml:space="preserve">ОБЛАСТИ "РАЗВИТИЕ ВОДНОГО И ЛЕСНОГО ХОЗЯЙСТВА БЕЛГОРОДСКОЙ</w:t>
      </w:r>
    </w:p>
    <w:p>
      <w:pPr>
        <w:pStyle w:val="2"/>
        <w:jc w:val="center"/>
      </w:pPr>
      <w:r>
        <w:rPr>
          <w:sz w:val="20"/>
        </w:rPr>
        <w:t xml:space="preserve">ОБЛАСТИ, ОХРАНА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25.08.2014 </w:t>
            </w:r>
            <w:hyperlink w:history="0" r:id="rId7" w:tooltip="Постановление Правительства Белгородской обл. от 25.08.2014 N 331-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331-пп</w:t>
              </w:r>
            </w:hyperlink>
            <w:r>
              <w:rPr>
                <w:sz w:val="20"/>
                <w:color w:val="392c69"/>
              </w:rPr>
              <w:t xml:space="preserve">, от 28.06.2016 </w:t>
            </w:r>
            <w:hyperlink w:history="0" r:id="rId8" w:tooltip="Постановление Правительства Белгородской обл. от 28.06.2016 N 24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240-пп</w:t>
              </w:r>
            </w:hyperlink>
            <w:r>
              <w:rPr>
                <w:sz w:val="20"/>
                <w:color w:val="392c69"/>
              </w:rPr>
              <w:t xml:space="preserve">, от 10.07.2017 </w:t>
            </w:r>
            <w:hyperlink w:history="0" r:id="rId9" w:tooltip="Постановление Правительства Белгородской обл. от 10.07.2017 N 268-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268-пп</w:t>
              </w:r>
            </w:hyperlink>
            <w:r>
              <w:rPr>
                <w:sz w:val="20"/>
                <w:color w:val="392c69"/>
              </w:rPr>
              <w:t xml:space="preserve">,</w:t>
            </w:r>
          </w:p>
          <w:p>
            <w:pPr>
              <w:pStyle w:val="0"/>
              <w:jc w:val="center"/>
            </w:pPr>
            <w:r>
              <w:rPr>
                <w:sz w:val="20"/>
                <w:color w:val="392c69"/>
              </w:rPr>
              <w:t xml:space="preserve">от 09.07.2018 </w:t>
            </w:r>
            <w:hyperlink w:history="0" r:id="rId10" w:tooltip="Постановление Правительства Белгородской обл. от 09.07.2018 N 26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260-пп</w:t>
              </w:r>
            </w:hyperlink>
            <w:r>
              <w:rPr>
                <w:sz w:val="20"/>
                <w:color w:val="392c69"/>
              </w:rPr>
              <w:t xml:space="preserve">, от 16.07.2018 </w:t>
            </w:r>
            <w:hyperlink w:history="0" r:id="rId11" w:tooltip="Постановление Правительства Белгородской обл. от 16.07.2018 N 267-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267-пп</w:t>
              </w:r>
            </w:hyperlink>
            <w:r>
              <w:rPr>
                <w:sz w:val="20"/>
                <w:color w:val="392c69"/>
              </w:rPr>
              <w:t xml:space="preserve">, от 29.04.2019 </w:t>
            </w:r>
            <w:hyperlink w:history="0" r:id="rId12" w:tooltip="Постановление Правительства Белгородской обл. от 29.04.2019 N 187-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187-пп</w:t>
              </w:r>
            </w:hyperlink>
            <w:r>
              <w:rPr>
                <w:sz w:val="20"/>
                <w:color w:val="392c69"/>
              </w:rPr>
              <w:t xml:space="preserve">,</w:t>
            </w:r>
          </w:p>
          <w:p>
            <w:pPr>
              <w:pStyle w:val="0"/>
              <w:jc w:val="center"/>
            </w:pPr>
            <w:r>
              <w:rPr>
                <w:sz w:val="20"/>
                <w:color w:val="392c69"/>
              </w:rPr>
              <w:t xml:space="preserve">от 20.07.2020 </w:t>
            </w:r>
            <w:hyperlink w:history="0" r:id="rId1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color w:val="392c69"/>
              </w:rPr>
              <w:t xml:space="preserve">, от 22.03.2021 </w:t>
            </w:r>
            <w:hyperlink w:history="0" r:id="rId14"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25.10.2021 </w:t>
            </w:r>
            <w:hyperlink w:history="0" r:id="rId15"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w:t>
            </w:r>
          </w:p>
          <w:p>
            <w:pPr>
              <w:pStyle w:val="0"/>
              <w:jc w:val="center"/>
            </w:pPr>
            <w:r>
              <w:rPr>
                <w:sz w:val="20"/>
                <w:color w:val="392c69"/>
              </w:rPr>
              <w:t xml:space="preserve">от 17.01.2022 </w:t>
            </w:r>
            <w:hyperlink w:history="0" r:id="rId16"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 от 19.09.2022 </w:t>
            </w:r>
            <w:hyperlink w:history="0" r:id="rId17" w:tooltip="Постановление Правительства Белгородской обл. от 19.09.2022 N 540-пп &quot;О внесении изменений в постановление Правительства Белгородской области от 16 декабря 2013 года N 517-пп&quot; (вместе с &quot;Порядком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quot;) {КонсультантПлюс}">
              <w:r>
                <w:rPr>
                  <w:sz w:val="20"/>
                  <w:color w:val="0000ff"/>
                </w:rPr>
                <w:t xml:space="preserve">N 540-пп</w:t>
              </w:r>
            </w:hyperlink>
            <w:r>
              <w:rPr>
                <w:sz w:val="20"/>
                <w:color w:val="392c69"/>
              </w:rPr>
              <w:t xml:space="preserve">, от 06.02.2023 </w:t>
            </w:r>
            <w:hyperlink w:history="0" r:id="rId1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44-пп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 целях исполнения Федерального </w:t>
      </w:r>
      <w:hyperlink w:history="0" r:id="rId19"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закона</w:t>
        </w:r>
      </w:hyperlink>
      <w:r>
        <w:rPr>
          <w:sz w:val="20"/>
        </w:rP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постановлений Правительства Белгородской области от 27 мая 2013 года </w:t>
      </w:r>
      <w:hyperlink w:history="0" r:id="rId20" w:tooltip="Постановление Правительства Белгородской обл. от 27.05.2013 N 201-пп (ред. от 23.04.2019) &quot;Об утверждении Концепции внедрения программного бюджета в бюджетный процесс Белгородской области&quot; {КонсультантПлюс}">
        <w:r>
          <w:rPr>
            <w:sz w:val="20"/>
            <w:color w:val="0000ff"/>
          </w:rPr>
          <w:t xml:space="preserve">N 201-пп</w:t>
        </w:r>
      </w:hyperlink>
      <w:r>
        <w:rPr>
          <w:sz w:val="20"/>
        </w:rPr>
        <w:t xml:space="preserve"> "Об утверждении Концепции внедрения программного бюджета в бюджетный процесс Белгородской области", от 27 мая 2013 года </w:t>
      </w:r>
      <w:hyperlink w:history="0" r:id="rId21" w:tooltip="Постановление Правительства Белгородской обл. от 27.05.2013 N 202-пп (ред. от 18.04.2022) &quot;Об утверждении Порядка разработки, реализации и оценки эффективности государственных программ Белгородской области&quot; {КонсультантПлюс}">
        <w:r>
          <w:rPr>
            <w:sz w:val="20"/>
            <w:color w:val="0000ff"/>
          </w:rPr>
          <w:t xml:space="preserve">N 202-пп</w:t>
        </w:r>
      </w:hyperlink>
      <w:r>
        <w:rPr>
          <w:sz w:val="20"/>
        </w:rP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w:history="0" r:id="rId22" w:tooltip="Постановление Правительства Белгородской обл. от 07.10.2013 N 401-пп (ред. от 26.12.2022) &quot;Об утверждении перечня государственных программ Белгородской области&quot; {КонсультантПлюс}">
        <w:r>
          <w:rPr>
            <w:sz w:val="20"/>
            <w:color w:val="0000ff"/>
          </w:rPr>
          <w:t xml:space="preserve">N 401-пп</w:t>
        </w:r>
      </w:hyperlink>
      <w:r>
        <w:rPr>
          <w:sz w:val="20"/>
        </w:rPr>
        <w:t xml:space="preserve"> "Об утверждении перечня государственных программ Белгородской области" и в связи с переходом на программный бюджет Правительство области постановляет:</w:t>
      </w:r>
    </w:p>
    <w:p>
      <w:pPr>
        <w:pStyle w:val="0"/>
        <w:ind w:firstLine="540"/>
        <w:jc w:val="both"/>
      </w:pPr>
      <w:r>
        <w:rPr>
          <w:sz w:val="20"/>
        </w:rPr>
      </w:r>
    </w:p>
    <w:p>
      <w:pPr>
        <w:pStyle w:val="0"/>
        <w:ind w:firstLine="540"/>
        <w:jc w:val="both"/>
      </w:pPr>
      <w:r>
        <w:rPr>
          <w:sz w:val="20"/>
        </w:rPr>
        <w:t xml:space="preserve">1. Утвердить прилагаемую государственную </w:t>
      </w:r>
      <w:hyperlink w:history="0" w:anchor="P53" w:tooltip="ПАСПОРТ">
        <w:r>
          <w:rPr>
            <w:sz w:val="20"/>
            <w:color w:val="0000ff"/>
          </w:rPr>
          <w:t xml:space="preserve">программу</w:t>
        </w:r>
      </w:hyperlink>
      <w:r>
        <w:rPr>
          <w:sz w:val="20"/>
        </w:rPr>
        <w:t xml:space="preserve"> Белгородской области "Развитие водного и лесного хозяйства Белгородской области, охрана окружающей среды" (далее - государственная программа).</w:t>
      </w:r>
    </w:p>
    <w:p>
      <w:pPr>
        <w:pStyle w:val="0"/>
        <w:jc w:val="both"/>
      </w:pPr>
      <w:r>
        <w:rPr>
          <w:sz w:val="20"/>
        </w:rPr>
        <w:t xml:space="preserve">(в ред. </w:t>
      </w:r>
      <w:hyperlink w:history="0" r:id="rId23" w:tooltip="Постановление Правительства Белгородской обл. от 29.04.2019 N 187-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29.04.2019 N 187-пп)</w:t>
      </w:r>
    </w:p>
    <w:p>
      <w:pPr>
        <w:pStyle w:val="0"/>
        <w:ind w:firstLine="540"/>
        <w:jc w:val="both"/>
      </w:pPr>
      <w:r>
        <w:rPr>
          <w:sz w:val="20"/>
        </w:rPr>
      </w:r>
    </w:p>
    <w:p>
      <w:pPr>
        <w:pStyle w:val="0"/>
        <w:ind w:firstLine="540"/>
        <w:jc w:val="both"/>
      </w:pPr>
      <w:r>
        <w:rPr>
          <w:sz w:val="20"/>
        </w:rPr>
        <w:t xml:space="preserve">2. Министерству финансов и бюджетной политики Белгородской области (Боровик В.Ф.) при формировании проекта областного бюджета на 2014 год и последующие годы предусмотреть необходимые объемы финансирования на реализацию мероприятий государственной программы.</w:t>
      </w:r>
    </w:p>
    <w:p>
      <w:pPr>
        <w:pStyle w:val="0"/>
        <w:jc w:val="both"/>
      </w:pPr>
      <w:r>
        <w:rPr>
          <w:sz w:val="20"/>
        </w:rPr>
        <w:t xml:space="preserve">(в ред. </w:t>
      </w:r>
      <w:hyperlink w:history="0" r:id="rId2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ind w:firstLine="540"/>
        <w:jc w:val="both"/>
      </w:pPr>
      <w:r>
        <w:rPr>
          <w:sz w:val="20"/>
        </w:rPr>
      </w:r>
    </w:p>
    <w:p>
      <w:pPr>
        <w:pStyle w:val="0"/>
        <w:ind w:firstLine="540"/>
        <w:jc w:val="both"/>
      </w:pPr>
      <w:r>
        <w:rPr>
          <w:sz w:val="20"/>
        </w:rPr>
        <w:t xml:space="preserve">3. Признать утратившими силу с 1 января 2014 года следующие постановления Правительства области:</w:t>
      </w:r>
    </w:p>
    <w:p>
      <w:pPr>
        <w:pStyle w:val="0"/>
        <w:spacing w:before="200" w:line-rule="auto"/>
        <w:ind w:firstLine="540"/>
        <w:jc w:val="both"/>
      </w:pPr>
      <w:r>
        <w:rPr>
          <w:sz w:val="20"/>
        </w:rPr>
        <w:t xml:space="preserve">- от 2 октября 2010 года </w:t>
      </w:r>
      <w:hyperlink w:history="0" r:id="rId25" w:tooltip="Постановление правительства Белгородской обл. от 02.10.2010 N 318-пп &quot;Об утверждении областной целевой программы &quot;Охрана лесов от пожаров на период до 2015 года&quot; ------------ Утратил силу или отменен {КонсультантПлюс}">
        <w:r>
          <w:rPr>
            <w:sz w:val="20"/>
            <w:color w:val="0000ff"/>
          </w:rPr>
          <w:t xml:space="preserve">N 318-пп</w:t>
        </w:r>
      </w:hyperlink>
      <w:r>
        <w:rPr>
          <w:sz w:val="20"/>
        </w:rPr>
        <w:t xml:space="preserve"> "Об утверждении областной целевой программы "Охрана лесов от пожаров на период до 2015 года";</w:t>
      </w:r>
    </w:p>
    <w:p>
      <w:pPr>
        <w:pStyle w:val="0"/>
        <w:spacing w:before="200" w:line-rule="auto"/>
        <w:ind w:firstLine="540"/>
        <w:jc w:val="both"/>
      </w:pPr>
      <w:r>
        <w:rPr>
          <w:sz w:val="20"/>
        </w:rPr>
        <w:t xml:space="preserve">- от 15 октября 2012 года </w:t>
      </w:r>
      <w:hyperlink w:history="0" r:id="rId26" w:tooltip="Постановление правительства Белгородской обл. от 15.10.2012 N 414-пп (ред. от 02.09.2013) &quot;Об утверждении долгосрочной целевой программы &quot;Развитие водохозяйственного комплекса Белгородской области в 2013 - 2020 годах&quot; ------------ Утратил силу или отменен {КонсультантПлюс}">
        <w:r>
          <w:rPr>
            <w:sz w:val="20"/>
            <w:color w:val="0000ff"/>
          </w:rPr>
          <w:t xml:space="preserve">N 414-пп</w:t>
        </w:r>
      </w:hyperlink>
      <w:r>
        <w:rPr>
          <w:sz w:val="20"/>
        </w:rPr>
        <w:t xml:space="preserve"> "Об утверждении долгосрочной целевой программы "Развитие водохозяйственного комплекса Белгородской области в 2013 - 2020 годах";</w:t>
      </w:r>
    </w:p>
    <w:p>
      <w:pPr>
        <w:pStyle w:val="0"/>
        <w:spacing w:before="200" w:line-rule="auto"/>
        <w:ind w:firstLine="540"/>
        <w:jc w:val="both"/>
      </w:pPr>
      <w:r>
        <w:rPr>
          <w:sz w:val="20"/>
        </w:rPr>
        <w:t xml:space="preserve">- от 24 октября 2011 года </w:t>
      </w:r>
      <w:hyperlink w:history="0" r:id="rId27" w:tooltip="Постановление правительства Белгородской обл. от 24.10.2011 N 388-пп (ред. от 15.04.2013) &quot;О долгосрочной целевой программе &quot;Охрана окружающей среды и рациональное природопользование&quot; на 2012 - 2014 годы&quot; ------------ Утратил силу или отменен {КонсультантПлюс}">
        <w:r>
          <w:rPr>
            <w:sz w:val="20"/>
            <w:color w:val="0000ff"/>
          </w:rPr>
          <w:t xml:space="preserve">N 388-пп</w:t>
        </w:r>
      </w:hyperlink>
      <w:r>
        <w:rPr>
          <w:sz w:val="20"/>
        </w:rPr>
        <w:t xml:space="preserve"> "О долгосрочной целевой программе "Охрана окружающей среды и рациональное природопользование" на 2012 - 2014 годы".</w:t>
      </w:r>
    </w:p>
    <w:p>
      <w:pPr>
        <w:pStyle w:val="0"/>
        <w:ind w:firstLine="540"/>
        <w:jc w:val="both"/>
      </w:pPr>
      <w:r>
        <w:rPr>
          <w:sz w:val="20"/>
        </w:rPr>
      </w:r>
    </w:p>
    <w:p>
      <w:pPr>
        <w:pStyle w:val="0"/>
        <w:ind w:firstLine="540"/>
        <w:jc w:val="both"/>
      </w:pPr>
      <w:r>
        <w:rPr>
          <w:sz w:val="20"/>
        </w:rPr>
        <w:t xml:space="preserve">4. Департаменту внутренней и кадровой политики области (Сергачев В.А.) обеспечить опубликование настоящего постановления на официальном сайте Губернатора и Правительства области.</w:t>
      </w:r>
    </w:p>
    <w:p>
      <w:pPr>
        <w:pStyle w:val="0"/>
        <w:ind w:firstLine="540"/>
        <w:jc w:val="both"/>
      </w:pPr>
      <w:r>
        <w:rPr>
          <w:sz w:val="20"/>
        </w:rPr>
      </w:r>
    </w:p>
    <w:p>
      <w:pPr>
        <w:pStyle w:val="0"/>
        <w:ind w:firstLine="540"/>
        <w:jc w:val="both"/>
      </w:pPr>
      <w:r>
        <w:rPr>
          <w:sz w:val="20"/>
        </w:rPr>
        <w:t xml:space="preserve">5. Контроль за исполнением постановления возложить на заместителя Губернатора Белгородской области Щедрину Ю.Е.</w:t>
      </w:r>
    </w:p>
    <w:p>
      <w:pPr>
        <w:pStyle w:val="0"/>
        <w:jc w:val="both"/>
      </w:pPr>
      <w:r>
        <w:rPr>
          <w:sz w:val="20"/>
        </w:rPr>
        <w:t xml:space="preserve">(в ред. </w:t>
      </w:r>
      <w:hyperlink w:history="0" r:id="rId2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Информацию об исполнении постановления представлять к 15 апреля ежегодно до 2026 года начиная с 2015 года.</w:t>
      </w:r>
    </w:p>
    <w:p>
      <w:pPr>
        <w:pStyle w:val="0"/>
        <w:jc w:val="both"/>
      </w:pPr>
      <w:r>
        <w:rPr>
          <w:sz w:val="20"/>
        </w:rPr>
        <w:t xml:space="preserve">(в ред. </w:t>
      </w:r>
      <w:hyperlink w:history="0" r:id="rId29" w:tooltip="Постановление Правительства Белгородской обл. от 29.04.2019 N 187-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29.04.2019 N 187-пп)</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16 декабря 2013 г. N 517-пп</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29.04.2019 </w:t>
            </w:r>
            <w:hyperlink w:history="0" r:id="rId30" w:tooltip="Постановление Правительства Белгородской обл. от 29.04.2019 N 187-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187-пп</w:t>
              </w:r>
            </w:hyperlink>
            <w:r>
              <w:rPr>
                <w:sz w:val="20"/>
                <w:color w:val="392c69"/>
              </w:rPr>
              <w:t xml:space="preserve">, от 20.07.2020 </w:t>
            </w:r>
            <w:hyperlink w:history="0" r:id="rId31"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color w:val="392c69"/>
              </w:rPr>
              <w:t xml:space="preserve">, от 22.03.2021 </w:t>
            </w:r>
            <w:hyperlink w:history="0" r:id="rId32"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w:t>
            </w:r>
          </w:p>
          <w:p>
            <w:pPr>
              <w:pStyle w:val="0"/>
              <w:jc w:val="center"/>
            </w:pPr>
            <w:r>
              <w:rPr>
                <w:sz w:val="20"/>
                <w:color w:val="392c69"/>
              </w:rPr>
              <w:t xml:space="preserve">от 25.10.2021 </w:t>
            </w:r>
            <w:hyperlink w:history="0" r:id="rId33"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 от 17.01.2022 </w:t>
            </w:r>
            <w:hyperlink w:history="0" r:id="rId3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 от 19.09.2022 </w:t>
            </w:r>
            <w:hyperlink w:history="0" r:id="rId35" w:tooltip="Постановление Правительства Белгородской обл. от 19.09.2022 N 540-пп &quot;О внесении изменений в постановление Правительства Белгородской области от 16 декабря 2013 года N 517-пп&quot; (вместе с &quot;Порядком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quot;) {КонсультантПлюс}">
              <w:r>
                <w:rPr>
                  <w:sz w:val="20"/>
                  <w:color w:val="0000ff"/>
                </w:rPr>
                <w:t xml:space="preserve">N 540-пп</w:t>
              </w:r>
            </w:hyperlink>
            <w:r>
              <w:rPr>
                <w:sz w:val="20"/>
                <w:color w:val="392c69"/>
              </w:rPr>
              <w:t xml:space="preserve">,</w:t>
            </w:r>
          </w:p>
          <w:p>
            <w:pPr>
              <w:pStyle w:val="0"/>
              <w:jc w:val="center"/>
            </w:pPr>
            <w:r>
              <w:rPr>
                <w:sz w:val="20"/>
                <w:color w:val="392c69"/>
              </w:rPr>
              <w:t xml:space="preserve">от 06.02.2023 </w:t>
            </w:r>
            <w:hyperlink w:history="0" r:id="rId36"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44-пп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bookmarkStart w:id="53" w:name="P53"/>
    <w:bookmarkEnd w:id="53"/>
    <w:p>
      <w:pPr>
        <w:pStyle w:val="2"/>
        <w:jc w:val="center"/>
      </w:pPr>
      <w:r>
        <w:rPr>
          <w:sz w:val="20"/>
        </w:rPr>
        <w:t xml:space="preserve">ПАСПОРТ</w:t>
      </w:r>
    </w:p>
    <w:p>
      <w:pPr>
        <w:pStyle w:val="2"/>
        <w:jc w:val="center"/>
      </w:pPr>
      <w:r>
        <w:rPr>
          <w:sz w:val="20"/>
        </w:rPr>
        <w:t xml:space="preserve">ГОСУДАРСТВЕННОЙ ПРОГРАММЫ БЕЛГОРОДСКОЙ ОБЛАСТИ</w:t>
      </w:r>
    </w:p>
    <w:p>
      <w:pPr>
        <w:pStyle w:val="2"/>
        <w:jc w:val="center"/>
      </w:pPr>
      <w:r>
        <w:rPr>
          <w:sz w:val="20"/>
        </w:rPr>
        <w:t xml:space="preserve">"РАЗВИТИЕ ВОДНОГО И ЛЕСНОГО ХОЗЯЙСТВА БЕЛГОРОДСКОЙ</w:t>
      </w:r>
    </w:p>
    <w:p>
      <w:pPr>
        <w:pStyle w:val="2"/>
        <w:jc w:val="center"/>
      </w:pPr>
      <w:r>
        <w:rPr>
          <w:sz w:val="20"/>
        </w:rPr>
        <w:t xml:space="preserve">ОБЛАСТИ, ОХРАНА ОКРУЖАЮЩЕЙ СРЕДЫ"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государственной программы Белгородской области "Развитие водного и лесного хозяйства Белгородской области, охрана окружающей среды" (далее - государственная программа)</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Ответственный исполнитель государственной программы</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3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Соисполнители государственной программы</w:t>
            </w:r>
          </w:p>
        </w:tc>
        <w:tc>
          <w:tcPr>
            <w:tcW w:w="6236" w:type="dxa"/>
            <w:tcBorders>
              <w:bottom w:val="nil"/>
            </w:tcBorders>
          </w:tcPr>
          <w:p>
            <w:pPr>
              <w:pStyle w:val="0"/>
              <w:jc w:val="both"/>
            </w:pPr>
            <w:r>
              <w:rPr>
                <w:sz w:val="20"/>
              </w:rPr>
              <w:t xml:space="preserve">Министерство природопользования Белгородской области; министерство экономического развития и промышленности Белгородской области; управление экологического и охотничьего надзора Белгородской области; министерство жилищно-коммунального хозяйства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(п. 2 в ред. </w:t>
            </w:r>
            <w:hyperlink w:history="0" r:id="rId3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blPrEx>
          <w:tblBorders>
            <w:insideH w:val="nil"/>
          </w:tblBorders>
        </w:tblPrEx>
        <w:tc>
          <w:tcPr>
            <w:tcW w:w="454" w:type="dxa"/>
            <w:tcBorders>
              <w:bottom w:val="nil"/>
            </w:tcBorders>
          </w:tcPr>
          <w:p>
            <w:pPr>
              <w:pStyle w:val="0"/>
              <w:jc w:val="center"/>
            </w:pPr>
            <w:r>
              <w:rPr>
                <w:sz w:val="20"/>
              </w:rPr>
              <w:t xml:space="preserve">3.</w:t>
            </w:r>
          </w:p>
        </w:tc>
        <w:tc>
          <w:tcPr>
            <w:tcW w:w="2324" w:type="dxa"/>
            <w:tcBorders>
              <w:bottom w:val="nil"/>
            </w:tcBorders>
          </w:tcPr>
          <w:p>
            <w:pPr>
              <w:pStyle w:val="0"/>
            </w:pPr>
            <w:r>
              <w:rPr>
                <w:sz w:val="20"/>
              </w:rPr>
              <w:t xml:space="preserve">Участники государственной программы</w:t>
            </w:r>
          </w:p>
        </w:tc>
        <w:tc>
          <w:tcPr>
            <w:tcW w:w="6236" w:type="dxa"/>
            <w:tcBorders>
              <w:bottom w:val="nil"/>
            </w:tcBorders>
          </w:tcPr>
          <w:p>
            <w:pPr>
              <w:pStyle w:val="0"/>
              <w:jc w:val="both"/>
            </w:pPr>
            <w:r>
              <w:rPr>
                <w:sz w:val="20"/>
              </w:rPr>
              <w:t xml:space="preserve">Министерство природопользования Белгородской области; министерство экономического развития и промышленности Белгородской области; управление экологического и охотничьего надзора Белгородской области; министерство жилищно-коммунального хозяйства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(п. 3 в ред. </w:t>
            </w:r>
            <w:hyperlink w:history="0" r:id="rId3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4.</w:t>
            </w:r>
          </w:p>
        </w:tc>
        <w:tc>
          <w:tcPr>
            <w:tcW w:w="2324" w:type="dxa"/>
          </w:tcPr>
          <w:p>
            <w:pPr>
              <w:pStyle w:val="0"/>
            </w:pPr>
            <w:r>
              <w:rPr>
                <w:sz w:val="20"/>
              </w:rPr>
              <w:t xml:space="preserve">Подпрограммы государственной программы</w:t>
            </w:r>
          </w:p>
        </w:tc>
        <w:tc>
          <w:tcPr>
            <w:tcW w:w="6236" w:type="dxa"/>
          </w:tcPr>
          <w:p>
            <w:pPr>
              <w:pStyle w:val="0"/>
              <w:jc w:val="both"/>
            </w:pPr>
            <w:r>
              <w:rPr>
                <w:sz w:val="20"/>
              </w:rPr>
              <w:t xml:space="preserve">1. </w:t>
            </w:r>
            <w:hyperlink w:history="0" w:anchor="P554" w:tooltip="Паспорт">
              <w:r>
                <w:rPr>
                  <w:sz w:val="20"/>
                  <w:color w:val="0000ff"/>
                </w:rPr>
                <w:t xml:space="preserve">Развитие лесного хозяйства</w:t>
              </w:r>
            </w:hyperlink>
            <w:r>
              <w:rPr>
                <w:sz w:val="20"/>
              </w:rPr>
              <w:t xml:space="preserve">.</w:t>
            </w:r>
          </w:p>
          <w:p>
            <w:pPr>
              <w:pStyle w:val="0"/>
              <w:jc w:val="both"/>
            </w:pPr>
            <w:r>
              <w:rPr>
                <w:sz w:val="20"/>
              </w:rPr>
              <w:t xml:space="preserve">2. </w:t>
            </w:r>
            <w:hyperlink w:history="0" w:anchor="P904" w:tooltip="Паспорт">
              <w:r>
                <w:rPr>
                  <w:sz w:val="20"/>
                  <w:color w:val="0000ff"/>
                </w:rPr>
                <w:t xml:space="preserve">Развитие водохозяйственного комплекса</w:t>
              </w:r>
            </w:hyperlink>
            <w:r>
              <w:rPr>
                <w:sz w:val="20"/>
              </w:rPr>
              <w:t xml:space="preserve">.</w:t>
            </w:r>
          </w:p>
          <w:p>
            <w:pPr>
              <w:pStyle w:val="0"/>
              <w:jc w:val="both"/>
            </w:pPr>
            <w:r>
              <w:rPr>
                <w:sz w:val="20"/>
              </w:rPr>
              <w:t xml:space="preserve">3. </w:t>
            </w:r>
            <w:hyperlink w:history="0" w:anchor="P1170" w:tooltip="Паспорт">
              <w:r>
                <w:rPr>
                  <w:sz w:val="20"/>
                  <w:color w:val="0000ff"/>
                </w:rPr>
                <w:t xml:space="preserve">Охрана окружающей среды</w:t>
              </w:r>
            </w:hyperlink>
            <w:r>
              <w:rPr>
                <w:sz w:val="20"/>
              </w:rPr>
              <w:t xml:space="preserve"> и рациональное природопользование.</w:t>
            </w:r>
          </w:p>
          <w:p>
            <w:pPr>
              <w:pStyle w:val="0"/>
              <w:jc w:val="both"/>
            </w:pPr>
            <w:r>
              <w:rPr>
                <w:sz w:val="20"/>
              </w:rPr>
              <w:t xml:space="preserve">4. </w:t>
            </w:r>
            <w:hyperlink w:history="0" w:anchor="P1447" w:tooltip="Паспорт">
              <w:r>
                <w:rPr>
                  <w:sz w:val="20"/>
                  <w:color w:val="0000ff"/>
                </w:rPr>
                <w:t xml:space="preserve">Сохранение, воспроизводство</w:t>
              </w:r>
            </w:hyperlink>
            <w:r>
              <w:rPr>
                <w:sz w:val="20"/>
              </w:rPr>
              <w:t xml:space="preserve"> и использование животного мира.</w:t>
            </w:r>
          </w:p>
          <w:p>
            <w:pPr>
              <w:pStyle w:val="0"/>
              <w:jc w:val="both"/>
            </w:pPr>
            <w:r>
              <w:rPr>
                <w:sz w:val="20"/>
              </w:rPr>
              <w:t xml:space="preserve">5. </w:t>
            </w:r>
            <w:hyperlink w:history="0" w:anchor="P1645" w:tooltip="Паспорт">
              <w:r>
                <w:rPr>
                  <w:sz w:val="20"/>
                  <w:color w:val="0000ff"/>
                </w:rPr>
                <w:t xml:space="preserve">Любительское рыболовство</w:t>
              </w:r>
            </w:hyperlink>
            <w:r>
              <w:rPr>
                <w:sz w:val="20"/>
              </w:rPr>
              <w:t xml:space="preserve"> и охрана водных биоресурсов.</w:t>
            </w:r>
          </w:p>
          <w:p>
            <w:pPr>
              <w:pStyle w:val="0"/>
              <w:jc w:val="both"/>
            </w:pPr>
            <w:r>
              <w:rPr>
                <w:sz w:val="20"/>
              </w:rPr>
              <w:t xml:space="preserve">6. </w:t>
            </w:r>
            <w:hyperlink w:history="0" w:anchor="P1864" w:tooltip="Паспорт">
              <w:r>
                <w:rPr>
                  <w:sz w:val="20"/>
                  <w:color w:val="0000ff"/>
                </w:rPr>
                <w:t xml:space="preserve">Обеспечение реализации</w:t>
              </w:r>
            </w:hyperlink>
            <w:r>
              <w:rPr>
                <w:sz w:val="20"/>
              </w:rPr>
              <w:t xml:space="preserve"> государственной программы.</w:t>
            </w:r>
          </w:p>
          <w:p>
            <w:pPr>
              <w:pStyle w:val="0"/>
              <w:jc w:val="both"/>
            </w:pPr>
            <w:r>
              <w:rPr>
                <w:sz w:val="20"/>
              </w:rPr>
              <w:t xml:space="preserve">7. </w:t>
            </w:r>
            <w:hyperlink w:history="0" w:anchor="P1966" w:tooltip="Паспорт">
              <w:r>
                <w:rPr>
                  <w:sz w:val="20"/>
                  <w:color w:val="0000ff"/>
                </w:rPr>
                <w:t xml:space="preserve">Обращение с твердыми коммунальными отходами</w:t>
              </w:r>
            </w:hyperlink>
            <w:r>
              <w:rPr>
                <w:sz w:val="20"/>
              </w:rPr>
              <w:t xml:space="preserve"> на территории Белгородской области</w:t>
            </w:r>
          </w:p>
        </w:tc>
      </w:tr>
      <w:tr>
        <w:tc>
          <w:tcPr>
            <w:tcW w:w="454" w:type="dxa"/>
          </w:tcPr>
          <w:p>
            <w:pPr>
              <w:pStyle w:val="0"/>
              <w:jc w:val="center"/>
            </w:pPr>
            <w:r>
              <w:rPr>
                <w:sz w:val="20"/>
              </w:rPr>
              <w:t xml:space="preserve">5.</w:t>
            </w:r>
          </w:p>
        </w:tc>
        <w:tc>
          <w:tcPr>
            <w:tcW w:w="2324" w:type="dxa"/>
          </w:tcPr>
          <w:p>
            <w:pPr>
              <w:pStyle w:val="0"/>
            </w:pPr>
            <w:r>
              <w:rPr>
                <w:sz w:val="20"/>
              </w:rPr>
              <w:t xml:space="preserve">Цель государственной программы</w:t>
            </w:r>
          </w:p>
        </w:tc>
        <w:tc>
          <w:tcPr>
            <w:tcW w:w="6236" w:type="dxa"/>
          </w:tcPr>
          <w:p>
            <w:pPr>
              <w:pStyle w:val="0"/>
              <w:jc w:val="both"/>
            </w:pPr>
            <w:r>
              <w:rPr>
                <w:sz w:val="20"/>
              </w:rPr>
              <w:t xml:space="preserve">Сохранение, восстановление и рациональное использование природных ресурсов и охрана окружающей среды области</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Задачи государственной программы</w:t>
            </w:r>
          </w:p>
        </w:tc>
        <w:tc>
          <w:tcPr>
            <w:tcW w:w="6236" w:type="dxa"/>
            <w:tcBorders>
              <w:bottom w:val="nil"/>
            </w:tcBorders>
          </w:tcPr>
          <w:p>
            <w:pPr>
              <w:pStyle w:val="0"/>
              <w:jc w:val="both"/>
            </w:pPr>
            <w:r>
              <w:rPr>
                <w:sz w:val="20"/>
              </w:rPr>
              <w:t xml:space="preserve">1. Повышение эффективности использования, охраны, защиты и воспроизводства лесов.</w:t>
            </w:r>
          </w:p>
          <w:p>
            <w:pPr>
              <w:pStyle w:val="0"/>
              <w:jc w:val="both"/>
            </w:pPr>
            <w:r>
              <w:rPr>
                <w:sz w:val="20"/>
              </w:rPr>
              <w:t xml:space="preserve">2. Создание условий для эффективного развития водохозяйственного комплекса.</w:t>
            </w:r>
          </w:p>
          <w:p>
            <w:pPr>
              <w:pStyle w:val="0"/>
              <w:jc w:val="both"/>
            </w:pPr>
            <w:r>
              <w:rPr>
                <w:sz w:val="20"/>
              </w:rPr>
              <w:t xml:space="preserve">3. 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p>
            <w:pPr>
              <w:pStyle w:val="0"/>
              <w:jc w:val="both"/>
            </w:pPr>
            <w:r>
              <w:rPr>
                <w:sz w:val="20"/>
              </w:rPr>
              <w:t xml:space="preserve">4. 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p>
            <w:pPr>
              <w:pStyle w:val="0"/>
              <w:jc w:val="both"/>
            </w:pPr>
            <w:r>
              <w:rPr>
                <w:sz w:val="20"/>
              </w:rPr>
              <w:t xml:space="preserve">5. Развитие рыболовства на основе сохранения, воспроизводства и рационального использования водных биологических ресурсов области.</w:t>
            </w:r>
          </w:p>
          <w:p>
            <w:pPr>
              <w:pStyle w:val="0"/>
              <w:jc w:val="both"/>
            </w:pPr>
            <w:r>
              <w:rPr>
                <w:sz w:val="20"/>
              </w:rPr>
              <w:t xml:space="preserve">6. 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p>
            <w:pPr>
              <w:pStyle w:val="0"/>
              <w:jc w:val="both"/>
            </w:pPr>
            <w:r>
              <w:rPr>
                <w:sz w:val="20"/>
              </w:rPr>
              <w:t xml:space="preserve">7. Повышение экологической безопасности населения на территории Белгородской области путем модернизации существующей системы обращения с твердыми коммунальными отходами.</w:t>
            </w:r>
          </w:p>
          <w:p>
            <w:pPr>
              <w:pStyle w:val="0"/>
              <w:jc w:val="both"/>
            </w:pPr>
            <w:r>
              <w:rPr>
                <w:sz w:val="20"/>
              </w:rPr>
              <w:t xml:space="preserve">8.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w:t>
            </w:r>
          </w:p>
          <w:p>
            <w:pPr>
              <w:pStyle w:val="0"/>
              <w:jc w:val="both"/>
            </w:pPr>
            <w:r>
              <w:rPr>
                <w:sz w:val="20"/>
              </w:rPr>
              <w:t xml:space="preserve">9.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pPr>
              <w:pStyle w:val="0"/>
              <w:jc w:val="both"/>
            </w:pPr>
            <w:r>
              <w:rPr>
                <w:sz w:val="20"/>
              </w:rPr>
              <w:t xml:space="preserve">10.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40"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tc>
      </w:tr>
      <w:tr>
        <w:tc>
          <w:tcPr>
            <w:tcW w:w="454" w:type="dxa"/>
          </w:tcPr>
          <w:p>
            <w:pPr>
              <w:pStyle w:val="0"/>
              <w:jc w:val="center"/>
            </w:pPr>
            <w:r>
              <w:rPr>
                <w:sz w:val="20"/>
              </w:rPr>
              <w:t xml:space="preserve">7.</w:t>
            </w:r>
          </w:p>
        </w:tc>
        <w:tc>
          <w:tcPr>
            <w:tcW w:w="2324" w:type="dxa"/>
          </w:tcPr>
          <w:p>
            <w:pPr>
              <w:pStyle w:val="0"/>
            </w:pPr>
            <w:r>
              <w:rPr>
                <w:sz w:val="20"/>
              </w:rPr>
              <w:t xml:space="preserve">Сроки и этапы реализации государственной программы</w:t>
            </w:r>
          </w:p>
        </w:tc>
        <w:tc>
          <w:tcPr>
            <w:tcW w:w="6236" w:type="dxa"/>
          </w:tcPr>
          <w:p>
            <w:pPr>
              <w:pStyle w:val="0"/>
              <w:jc w:val="both"/>
            </w:pPr>
            <w:r>
              <w:rPr>
                <w:sz w:val="20"/>
              </w:rPr>
              <w:t xml:space="preserve">Реализация государственной программы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jc w:val="center"/>
            </w:pPr>
            <w:r>
              <w:rPr>
                <w:sz w:val="20"/>
              </w:rPr>
              <w:t xml:space="preserve">8.</w:t>
            </w:r>
          </w:p>
        </w:tc>
        <w:tc>
          <w:tcPr>
            <w:tcW w:w="2324" w:type="dxa"/>
            <w:tcBorders>
              <w:bottom w:val="nil"/>
            </w:tcBorders>
          </w:tcPr>
          <w:p>
            <w:pPr>
              <w:pStyle w:val="0"/>
            </w:pPr>
            <w:r>
              <w:rPr>
                <w:sz w:val="20"/>
              </w:rPr>
              <w:t xml:space="preserve">Объемы бюджетных ассигнований государственной программы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pPr>
              <w:pStyle w:val="0"/>
              <w:jc w:val="both"/>
            </w:pPr>
            <w:r>
              <w:rPr>
                <w:sz w:val="20"/>
              </w:rPr>
              <w:t xml:space="preserve">Общий объем бюджетных ассигнований государственной программы в 2014 - 2025 годах - 10059616,9 тыс. рублей, в том числе:</w:t>
            </w:r>
          </w:p>
          <w:p>
            <w:pPr>
              <w:pStyle w:val="0"/>
              <w:jc w:val="both"/>
            </w:pPr>
            <w:r>
              <w:rPr>
                <w:sz w:val="20"/>
              </w:rPr>
              <w:t xml:space="preserve">за счет средств федерального бюджета - 2756934,5 тыс. рублей;</w:t>
            </w:r>
          </w:p>
          <w:p>
            <w:pPr>
              <w:pStyle w:val="0"/>
              <w:jc w:val="both"/>
            </w:pPr>
            <w:r>
              <w:rPr>
                <w:sz w:val="20"/>
              </w:rPr>
              <w:t xml:space="preserve">за счет средств областного бюджета - 6063289,2 тыс. рублей, в том числе по годам:</w:t>
            </w:r>
          </w:p>
          <w:p>
            <w:pPr>
              <w:pStyle w:val="0"/>
              <w:jc w:val="both"/>
            </w:pPr>
            <w:r>
              <w:rPr>
                <w:sz w:val="20"/>
              </w:rPr>
              <w:t xml:space="preserve">2014 год - 255470 тыс. рублей;</w:t>
            </w:r>
          </w:p>
          <w:p>
            <w:pPr>
              <w:pStyle w:val="0"/>
              <w:jc w:val="both"/>
            </w:pPr>
            <w:r>
              <w:rPr>
                <w:sz w:val="20"/>
              </w:rPr>
              <w:t xml:space="preserve">2015 год - 228279 тыс. рублей;</w:t>
            </w:r>
          </w:p>
          <w:p>
            <w:pPr>
              <w:pStyle w:val="0"/>
              <w:jc w:val="both"/>
            </w:pPr>
            <w:r>
              <w:rPr>
                <w:sz w:val="20"/>
              </w:rPr>
              <w:t xml:space="preserve">2016 год - 229683 тыс. рублей;</w:t>
            </w:r>
          </w:p>
          <w:p>
            <w:pPr>
              <w:pStyle w:val="0"/>
              <w:jc w:val="both"/>
            </w:pPr>
            <w:r>
              <w:rPr>
                <w:sz w:val="20"/>
              </w:rPr>
              <w:t xml:space="preserve">2017 год - 227913 тыс. рублей;</w:t>
            </w:r>
          </w:p>
          <w:p>
            <w:pPr>
              <w:pStyle w:val="0"/>
              <w:jc w:val="both"/>
            </w:pPr>
            <w:r>
              <w:rPr>
                <w:sz w:val="20"/>
              </w:rPr>
              <w:t xml:space="preserve">2018 год - 293595 тыс. рублей;</w:t>
            </w:r>
          </w:p>
          <w:p>
            <w:pPr>
              <w:pStyle w:val="0"/>
              <w:jc w:val="both"/>
            </w:pPr>
            <w:r>
              <w:rPr>
                <w:sz w:val="20"/>
              </w:rPr>
              <w:t xml:space="preserve">2019 год - 307473,5 тыс. рублей;</w:t>
            </w:r>
          </w:p>
          <w:p>
            <w:pPr>
              <w:pStyle w:val="0"/>
              <w:jc w:val="both"/>
            </w:pPr>
            <w:r>
              <w:rPr>
                <w:sz w:val="20"/>
              </w:rPr>
              <w:t xml:space="preserve">2020 год - 379248,1 тыс. рублей;</w:t>
            </w:r>
          </w:p>
          <w:p>
            <w:pPr>
              <w:pStyle w:val="0"/>
              <w:jc w:val="both"/>
            </w:pPr>
            <w:r>
              <w:rPr>
                <w:sz w:val="20"/>
              </w:rPr>
              <w:t xml:space="preserve">2021 год - 478940,9 тыс. рублей;</w:t>
            </w:r>
          </w:p>
          <w:p>
            <w:pPr>
              <w:pStyle w:val="0"/>
              <w:jc w:val="both"/>
            </w:pPr>
            <w:r>
              <w:rPr>
                <w:sz w:val="20"/>
              </w:rPr>
              <w:t xml:space="preserve">2022 год - 1191508,7 тыс. рублей;</w:t>
            </w:r>
          </w:p>
          <w:p>
            <w:pPr>
              <w:pStyle w:val="0"/>
              <w:jc w:val="both"/>
            </w:pPr>
            <w:r>
              <w:rPr>
                <w:sz w:val="20"/>
              </w:rPr>
              <w:t xml:space="preserve">2023 год - 1284463,8 тыс. рублей;</w:t>
            </w:r>
          </w:p>
          <w:p>
            <w:pPr>
              <w:pStyle w:val="0"/>
              <w:jc w:val="both"/>
            </w:pPr>
            <w:r>
              <w:rPr>
                <w:sz w:val="20"/>
              </w:rPr>
              <w:t xml:space="preserve">2024 год - 715017,3 тыс. рублей;</w:t>
            </w:r>
          </w:p>
          <w:p>
            <w:pPr>
              <w:pStyle w:val="0"/>
              <w:jc w:val="both"/>
            </w:pPr>
            <w:r>
              <w:rPr>
                <w:sz w:val="20"/>
              </w:rPr>
              <w:t xml:space="preserve">2025 год - 471696,9 тыс. рублей;</w:t>
            </w:r>
          </w:p>
          <w:p>
            <w:pPr>
              <w:pStyle w:val="0"/>
              <w:jc w:val="both"/>
            </w:pPr>
            <w:r>
              <w:rPr>
                <w:sz w:val="20"/>
              </w:rPr>
              <w:t xml:space="preserve">за счет средств консолидированных бюджетов муниципальных образований - 250573,4 тыс. рублей;</w:t>
            </w:r>
          </w:p>
          <w:p>
            <w:pPr>
              <w:pStyle w:val="0"/>
              <w:jc w:val="both"/>
            </w:pPr>
            <w:r>
              <w:rPr>
                <w:sz w:val="20"/>
              </w:rPr>
              <w:t xml:space="preserve">за счет средств иных источников - 988819,8 тыс. рублей</w:t>
            </w:r>
          </w:p>
        </w:tc>
      </w:tr>
      <w:tr>
        <w:tblPrEx>
          <w:tblBorders>
            <w:insideH w:val="nil"/>
          </w:tblBorders>
        </w:tblPrEx>
        <w:tc>
          <w:tcPr>
            <w:gridSpan w:val="3"/>
            <w:tcW w:w="9014" w:type="dxa"/>
            <w:tcBorders>
              <w:top w:val="nil"/>
            </w:tcBorders>
          </w:tcPr>
          <w:p>
            <w:pPr>
              <w:pStyle w:val="0"/>
              <w:jc w:val="both"/>
            </w:pPr>
            <w:r>
              <w:rPr>
                <w:sz w:val="20"/>
              </w:rPr>
              <w:t xml:space="preserve">(п. 8 в ред. </w:t>
            </w:r>
            <w:hyperlink w:history="0" r:id="rId41"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9.</w:t>
            </w:r>
          </w:p>
        </w:tc>
        <w:tc>
          <w:tcPr>
            <w:tcW w:w="2324" w:type="dxa"/>
          </w:tcPr>
          <w:p>
            <w:pPr>
              <w:pStyle w:val="0"/>
            </w:pPr>
            <w:r>
              <w:rPr>
                <w:sz w:val="20"/>
              </w:rPr>
              <w:t xml:space="preserve">Конечные результаты реализации государственной программы</w:t>
            </w:r>
          </w:p>
        </w:tc>
        <w:tc>
          <w:tcPr>
            <w:tcW w:w="6236" w:type="dxa"/>
          </w:tcPr>
          <w:p>
            <w:pPr>
              <w:pStyle w:val="0"/>
              <w:jc w:val="both"/>
            </w:pPr>
            <w:r>
              <w:rPr>
                <w:sz w:val="20"/>
              </w:rPr>
              <w:t xml:space="preserve">Планируется:</w:t>
            </w:r>
          </w:p>
          <w:p>
            <w:pPr>
              <w:pStyle w:val="0"/>
              <w:jc w:val="both"/>
            </w:pPr>
            <w:r>
              <w:rPr>
                <w:sz w:val="20"/>
              </w:rPr>
              <w:t xml:space="preserve">1.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pPr>
              <w:pStyle w:val="0"/>
              <w:jc w:val="both"/>
            </w:pPr>
            <w:r>
              <w:rPr>
                <w:sz w:val="20"/>
              </w:rPr>
              <w:t xml:space="preserve">2. Снижение удельного объема выбросов загрязняющих веществ в атмосферный воздух от стационарных источников до 0,087 тонн/млн руб. валового регионального продукта к 2025 году.</w:t>
            </w:r>
          </w:p>
          <w:p>
            <w:pPr>
              <w:pStyle w:val="0"/>
              <w:jc w:val="both"/>
            </w:pPr>
            <w:r>
              <w:rPr>
                <w:sz w:val="20"/>
              </w:rPr>
              <w:t xml:space="preserve">3. Снижение удельного сброса загрязненных сточных вод до 0,05 куб. м/млн руб. валового регионального продукта к 2025 году.</w:t>
            </w:r>
          </w:p>
          <w:p>
            <w:pPr>
              <w:pStyle w:val="0"/>
              <w:jc w:val="both"/>
            </w:pPr>
            <w:r>
              <w:rPr>
                <w:sz w:val="20"/>
              </w:rPr>
              <w:t xml:space="preserve">4. Снижение удельного объема образующихся отходов производства и потребления до 121,6 тонн/млн руб. валового регионального продукта к 2018 году.</w:t>
            </w:r>
          </w:p>
          <w:p>
            <w:pPr>
              <w:pStyle w:val="0"/>
              <w:jc w:val="both"/>
            </w:pPr>
            <w:r>
              <w:rPr>
                <w:sz w:val="20"/>
              </w:rPr>
              <w:t xml:space="preserve">5. Индекс прироста численности косули до 19,3 процента к 2025 году.</w:t>
            </w:r>
          </w:p>
          <w:p>
            <w:pPr>
              <w:pStyle w:val="0"/>
              <w:jc w:val="both"/>
            </w:pPr>
            <w:r>
              <w:rPr>
                <w:sz w:val="20"/>
              </w:rPr>
              <w:t xml:space="preserve">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до 100 процентов к 2025 году</w:t>
            </w:r>
          </w:p>
        </w:tc>
      </w:tr>
    </w:tbl>
    <w:p>
      <w:pPr>
        <w:pStyle w:val="0"/>
        <w:jc w:val="both"/>
      </w:pPr>
      <w:r>
        <w:rPr>
          <w:sz w:val="20"/>
        </w:rPr>
      </w:r>
    </w:p>
    <w:p>
      <w:pPr>
        <w:pStyle w:val="2"/>
        <w:outlineLvl w:val="1"/>
        <w:jc w:val="center"/>
      </w:pPr>
      <w:r>
        <w:rPr>
          <w:sz w:val="20"/>
        </w:rPr>
        <w:t xml:space="preserve">I. Общая характеристика сферы реализации государственной</w:t>
      </w:r>
    </w:p>
    <w:p>
      <w:pPr>
        <w:pStyle w:val="2"/>
        <w:jc w:val="center"/>
      </w:pPr>
      <w:r>
        <w:rPr>
          <w:sz w:val="20"/>
        </w:rPr>
        <w:t xml:space="preserve">программы, основные проблемы в указанной</w:t>
      </w:r>
    </w:p>
    <w:p>
      <w:pPr>
        <w:pStyle w:val="2"/>
        <w:jc w:val="center"/>
      </w:pPr>
      <w:r>
        <w:rPr>
          <w:sz w:val="20"/>
        </w:rPr>
        <w:t xml:space="preserve">сфере и прогноз ее развития</w:t>
      </w:r>
    </w:p>
    <w:p>
      <w:pPr>
        <w:pStyle w:val="0"/>
        <w:jc w:val="both"/>
      </w:pPr>
      <w:r>
        <w:rPr>
          <w:sz w:val="20"/>
        </w:rPr>
      </w:r>
    </w:p>
    <w:p>
      <w:pPr>
        <w:pStyle w:val="0"/>
        <w:ind w:firstLine="540"/>
        <w:jc w:val="both"/>
      </w:pPr>
      <w:hyperlink w:history="0" r:id="rId42"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Стратегией</w:t>
        </w:r>
      </w:hyperlink>
      <w:r>
        <w:rPr>
          <w:sz w:val="20"/>
        </w:rP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от 25 января 2010 года N 27-пп (далее - Стратегия области), определено, что стратегической целью развития области является достижение для населения Белгородской области качества жизни, достойного человека, и его постоянное улучшение, что во многом определяется улучшением состояния окружающей среды и рациональным природопользованием.</w:t>
      </w:r>
    </w:p>
    <w:p>
      <w:pPr>
        <w:pStyle w:val="0"/>
        <w:spacing w:before="200" w:line-rule="auto"/>
        <w:ind w:firstLine="540"/>
        <w:jc w:val="both"/>
      </w:pPr>
      <w:r>
        <w:rPr>
          <w:sz w:val="20"/>
        </w:rPr>
        <w:t xml:space="preserve">Мировой опыт свидетельствует, что экологически безопасное природопользование в значительной мере обусловлено совершенствованием действующих механизмов государственного управления в области рационального использования, охраны и восстановления природных ресурсов.</w:t>
      </w:r>
    </w:p>
    <w:p>
      <w:pPr>
        <w:pStyle w:val="0"/>
        <w:spacing w:before="200" w:line-rule="auto"/>
        <w:ind w:firstLine="540"/>
        <w:jc w:val="both"/>
      </w:pPr>
      <w:r>
        <w:rPr>
          <w:sz w:val="20"/>
        </w:rPr>
        <w:t xml:space="preserve">В условиях активного проявления деградационных процессов современное природопользование должно быть ориентировано на рациональное использование природных ресурсов.</w:t>
      </w:r>
    </w:p>
    <w:p>
      <w:pPr>
        <w:pStyle w:val="0"/>
        <w:spacing w:before="200" w:line-rule="auto"/>
        <w:ind w:firstLine="540"/>
        <w:jc w:val="both"/>
      </w:pPr>
      <w:r>
        <w:rPr>
          <w:sz w:val="20"/>
        </w:rPr>
        <w:t xml:space="preserve">Развитие лесного хозяйства.</w:t>
      </w:r>
    </w:p>
    <w:p>
      <w:pPr>
        <w:pStyle w:val="0"/>
        <w:spacing w:before="200" w:line-rule="auto"/>
        <w:ind w:firstLine="540"/>
        <w:jc w:val="both"/>
      </w:pPr>
      <w:r>
        <w:rPr>
          <w:sz w:val="20"/>
        </w:rPr>
        <w:t xml:space="preserve">Леса являются одним из возобновляемых природных ресурсов, выполняют важнейшие средообразующие и средозащитные функции. Организация устойчивого управления лесами, их многоцелевое, неистощимое использование являются стратегически важной задачей.</w:t>
      </w:r>
    </w:p>
    <w:p>
      <w:pPr>
        <w:pStyle w:val="0"/>
        <w:spacing w:before="200" w:line-rule="auto"/>
        <w:ind w:firstLine="540"/>
        <w:jc w:val="both"/>
      </w:pPr>
      <w:r>
        <w:rPr>
          <w:sz w:val="20"/>
        </w:rPr>
        <w:t xml:space="preserve">Принятие Лесного </w:t>
      </w:r>
      <w:hyperlink w:history="0" r:id="rId43" w:tooltip="&quot;Лесной кодекс Российской Федерации&quot; от 04.12.2006 N 200-ФЗ (ред. от 28.04.2023) {КонсультантПлюс}">
        <w:r>
          <w:rPr>
            <w:sz w:val="20"/>
            <w:color w:val="0000ff"/>
          </w:rPr>
          <w:t xml:space="preserve">кодекса</w:t>
        </w:r>
      </w:hyperlink>
      <w:r>
        <w:rPr>
          <w:sz w:val="20"/>
        </w:rPr>
        <w:t xml:space="preserve"> Российской Федерации значительно расширило возможности для интенсификации использования лесов, внедрения рыночных механизмов в лесном хозяйстве. Вместе с тем передача отдельных полномочий Российской Федерации в области лесных отношений субъектам Российской Федерации обуславливает необходимость повышения эффективности использования лесов, снижения уровня их повреждения неблагоприятными факторами (прежде всего лесными пожарами), достижения требуемого качества работ по воспроизводству лесов и снижения объемов нелегального оборота древесины. Сегодня в лесном хозяйстве накопились проблемы, препятствующие повышению эффективности использования, охраны, защиты и воспроизводства лесов, улучшению их продуктивности и качества, сохранению экологических функций лесных насаждений и биологического разнообразия, что значительно снижает перспективы лесного комплекса.</w:t>
      </w:r>
    </w:p>
    <w:p>
      <w:pPr>
        <w:pStyle w:val="0"/>
        <w:spacing w:before="200" w:line-rule="auto"/>
        <w:ind w:firstLine="540"/>
        <w:jc w:val="both"/>
      </w:pPr>
      <w:r>
        <w:rPr>
          <w:sz w:val="20"/>
        </w:rPr>
        <w:t xml:space="preserve">К системным проблемам, сдерживающим эффективное лесоуправление, относятся также недостаточная точность оценки лесоресурсного потенциала, относительно низкий уровень использования современных информационных технологий в лесном хозяйстве.</w:t>
      </w:r>
    </w:p>
    <w:p>
      <w:pPr>
        <w:pStyle w:val="0"/>
        <w:spacing w:before="200" w:line-rule="auto"/>
        <w:ind w:firstLine="540"/>
        <w:jc w:val="both"/>
      </w:pPr>
      <w:r>
        <w:rPr>
          <w:sz w:val="20"/>
        </w:rPr>
        <w:t xml:space="preserve">По учету на 1 января 2012 года общая площадь земель лесного фонда области составляет 228,55 тыс. га, в том числе лесные земли занимают 220,11 тыс. га, или 96,3 процента. Покрытые лесной растительностью земли от общей площади составляют 94,6 процента, не покрытые лесной растительностью - 1,7 процента. Нелесные земли составляют 3,7 процента. Городские леса, поставленные на кадастровый учет, составляют 608 га.</w:t>
      </w:r>
    </w:p>
    <w:p>
      <w:pPr>
        <w:pStyle w:val="0"/>
        <w:spacing w:before="200" w:line-rule="auto"/>
        <w:ind w:firstLine="540"/>
        <w:jc w:val="both"/>
      </w:pPr>
      <w:r>
        <w:rPr>
          <w:sz w:val="20"/>
        </w:rPr>
        <w:t xml:space="preserve">В целом по области площади, занятые основными лесообразующими породами, остаются на протяжении последнего десятилетия достаточно стабильными при увеличении площади дуба высокоствольного и уменьшении площади дуба низкоствольного.</w:t>
      </w:r>
    </w:p>
    <w:p>
      <w:pPr>
        <w:pStyle w:val="0"/>
        <w:spacing w:before="200" w:line-rule="auto"/>
        <w:ind w:firstLine="540"/>
        <w:jc w:val="both"/>
      </w:pPr>
      <w:r>
        <w:rPr>
          <w:sz w:val="20"/>
        </w:rPr>
        <w:t xml:space="preserve">Лесной фонд области имеет значительную природную пожарную опасность и требует постоянного наблюдения в период с апреля по ноябрь. В среднем за год на территории области регистрируется до 40 лесных пожаров со средней площадью каждого пожара 1 га (за исключением аномально жаркого лета в 2010 году - 39 га). Наибольшее число пожаров возникает в апреле, мае (пик возгораемости - самый высокий класс пожарной опасности по условиям погоды), августе, сентябре.</w:t>
      </w:r>
    </w:p>
    <w:p>
      <w:pPr>
        <w:pStyle w:val="0"/>
        <w:spacing w:before="200" w:line-rule="auto"/>
        <w:ind w:firstLine="540"/>
        <w:jc w:val="both"/>
      </w:pPr>
      <w:r>
        <w:rPr>
          <w:sz w:val="20"/>
        </w:rPr>
        <w:t xml:space="preserve">Происходящие лесные пожары обусловлены высокой плотностью населения и большой рекреационной нагрузкой на лесные насаждения.</w:t>
      </w:r>
    </w:p>
    <w:p>
      <w:pPr>
        <w:pStyle w:val="0"/>
        <w:spacing w:before="200" w:line-rule="auto"/>
        <w:ind w:firstLine="540"/>
        <w:jc w:val="both"/>
      </w:pPr>
      <w:r>
        <w:rPr>
          <w:sz w:val="20"/>
        </w:rPr>
        <w:t xml:space="preserve">В целях предупреждения возникновения лесных пожаров ежегодно обеспечивается выполнение мер противопожарного обустройства лесов, включающих реконструкцию лесных дорог, предназначенных для охраны лесов от пожаров, устройство и уход за минерализованными полосами, благоустройство зон отдыха граждан, установку и эксплуатацию шлагбаумов, проведение санитарно-оздоровительных мероприятий.</w:t>
      </w:r>
    </w:p>
    <w:p>
      <w:pPr>
        <w:pStyle w:val="0"/>
        <w:spacing w:before="200" w:line-rule="auto"/>
        <w:ind w:firstLine="540"/>
        <w:jc w:val="both"/>
      </w:pPr>
      <w:r>
        <w:rPr>
          <w:sz w:val="20"/>
        </w:rPr>
        <w:t xml:space="preserve">Основная задача лесозащиты - предупреждение (профилактика) вспышек массового размножения и распространения вредных насекомых и болезней, способных вызвать гибель насаждений или резкое падение прироста древесины и снижение ее деловых качеств. С этой целью в лесах области проводится комплекс работ, включающих санитарно-оздоровительные мероприятия и лесопатологический мониторинг. Санитарно-оздоровительные мероприятия в лесах области проводятся в виде выборочных, сплошных санитарных рубок и уборки захламленности, которые являются наиболее действенным и быстрым способом, позволяющим улучшить санитарное состояние насаждений и уменьшить потери древесины в результате гибели древостоя. Локализация и ликвидация очагов вредных организмов проводится по мере необходимости.</w:t>
      </w:r>
    </w:p>
    <w:p>
      <w:pPr>
        <w:pStyle w:val="0"/>
        <w:spacing w:before="200" w:line-rule="auto"/>
        <w:ind w:firstLine="540"/>
        <w:jc w:val="both"/>
      </w:pPr>
      <w:r>
        <w:rPr>
          <w:sz w:val="20"/>
        </w:rPr>
        <w:t xml:space="preserve">Лесовосстановление осуществляется в целях восстановления вырубленных, погибших, поврежденных лесов и должно обеспечивать воспроизводство лесных насаждений, сохранение биологического разнообразия лесов и полезных функций лесов. За период 2001 - 2012 годов создано 3111 га лесных культур, из них переведено в покрытые лесной растительностью земли 725 га (23,3 процента). Лесовосстановление осуществляется способом естественного, искусственного или комбинированного воспроизводства лесов. Естественное восстановление лесов осуществляется путем сохранения подроста лесных древесных пород при проведении рубок лесных насаждений, минерализации почвы, огораживании и т.п. Искусственное восстановление лесов осуществляется путем создания лесных культур. Комбинированное восстановление лесов осуществляется за счет сочетания естественного и искусственного лесовосстановления. Лесовосстановительные мероприятия на каждом лесном участке осуществляются в соответствии с проектом лесовосстановления.</w:t>
      </w:r>
    </w:p>
    <w:p>
      <w:pPr>
        <w:pStyle w:val="0"/>
        <w:spacing w:before="200" w:line-rule="auto"/>
        <w:ind w:firstLine="540"/>
        <w:jc w:val="both"/>
      </w:pPr>
      <w:r>
        <w:rPr>
          <w:sz w:val="20"/>
        </w:rPr>
        <w:t xml:space="preserve">Развитие водохозяйственного комплекса.</w:t>
      </w:r>
    </w:p>
    <w:p>
      <w:pPr>
        <w:pStyle w:val="0"/>
        <w:spacing w:before="200" w:line-rule="auto"/>
        <w:ind w:firstLine="540"/>
        <w:jc w:val="both"/>
      </w:pPr>
      <w:r>
        <w:rPr>
          <w:sz w:val="20"/>
        </w:rPr>
        <w:t xml:space="preserve">Белгородская область относится к числу наиболее маловодных регионов России: водотоками и водоемами занято около 1 процента ее территории. Водный фонд области состоит из поверхностных вод и запасов подземных вод, объем среднегодового стока составляет 2,7 куб. км, в маловодные годы, которые повторяются один раз в 4 года (обеспеченность 75 процентов) - 2 куб. км, а в очень маловодный год (обеспеченность 95 процентов), повторяющийся один раз в 2 года, объем местного стока снижается до 1,3 куб. км, т.е. в 2 раза меньше среднегодового. До 70 процентов речного стока уходит на территорию Украины.</w:t>
      </w:r>
    </w:p>
    <w:p>
      <w:pPr>
        <w:pStyle w:val="0"/>
        <w:spacing w:before="200" w:line-rule="auto"/>
        <w:ind w:firstLine="540"/>
        <w:jc w:val="both"/>
      </w:pPr>
      <w:r>
        <w:rPr>
          <w:sz w:val="20"/>
        </w:rPr>
        <w:t xml:space="preserve">Зарегистрировано свыше 500 рек и ручьев общей протяженностью более 5 тыс. км. Более 90 процентов территории Белгородской области занимают водосбросы четырех рек: Северский Донец, Оскол, Тихая Сосна (бассейн Дона - 78 процентов) и Ворскла (бассейн Днепра - 22 процента). Речная сеть лучше развита и более полноводна в западной части области (0,20 - 0,25 кв. км), восточнее р. Оскол густота речной сети составляет 0,10 - 0,15 кв. км. Характерно, что все реки, за исключением Оскола и его притока - реки Убля, берут начало на территории области. Наиболее крупными водотоками в области являются: р. Северский Донец, р. Тихая Сосна, р. Оскол, р. Ворскла, причем все они, за исключением р. Тихая Сосна, являются трансграничными водотоками, уходят на территорию Украины.</w:t>
      </w:r>
    </w:p>
    <w:p>
      <w:pPr>
        <w:pStyle w:val="0"/>
        <w:spacing w:before="200" w:line-rule="auto"/>
        <w:ind w:firstLine="540"/>
        <w:jc w:val="both"/>
      </w:pPr>
      <w:r>
        <w:rPr>
          <w:sz w:val="20"/>
        </w:rPr>
        <w:t xml:space="preserve">Кроме того, для области характерно обилие искусственных прудов и водохранилищ - построено свыше 1000 прудов и водохранилищ, из них 421 - объемом 100 тыс. куб. м и более. Наиболее крупными водохранилищами являются Старооскольское и Белгородское, полный объем которых соответственно 86 млн куб. м и 76 млн куб. м, которые построены для целей промышленного и сельскохозяйственного водоснабжения.</w:t>
      </w:r>
    </w:p>
    <w:p>
      <w:pPr>
        <w:pStyle w:val="0"/>
        <w:spacing w:before="200" w:line-rule="auto"/>
        <w:ind w:firstLine="540"/>
        <w:jc w:val="both"/>
      </w:pPr>
      <w:r>
        <w:rPr>
          <w:sz w:val="20"/>
        </w:rPr>
        <w:t xml:space="preserve">Взаимодействие с Украиной осуществляется в рамках Соглашения о совместном использовании и охране трансграничных водных объектов от 19 октября 1992 года.</w:t>
      </w:r>
    </w:p>
    <w:p>
      <w:pPr>
        <w:pStyle w:val="0"/>
        <w:spacing w:before="200" w:line-rule="auto"/>
        <w:ind w:firstLine="540"/>
        <w:jc w:val="both"/>
      </w:pPr>
      <w:r>
        <w:rPr>
          <w:sz w:val="20"/>
        </w:rPr>
        <w:t xml:space="preserve">Территория Белгородской области наиболее эродирована среди областей Центрально-Черноземного региона. По уточненным данным, общая площадь эродированных почв области составляет 53,6 процента, в том числе сельскохозяйственных угодий - 50,7 процента. Усиление эрозионной опасности области вызвано тем, что на склонах различной крутизны размещается более половины пашни. При этом прирост смытых почв составляет в среднем 0,3 процента. Исследования по определению среднего многолетнего смыва почв с малых водосбросов показывают, что эта величина составляет 5,8 - 6,7 т/га в год. Тогда как допустимая норма смыва почвы, которая не превышает естественный темп почвообразования, должна быть в пределах от 0,2 - 0,5 т/га. Ежегодные потери вследствие эрозии почвы с пахотных земель Центрально-Черноземного региона с крутизной более 1 градуса составляют 1,25 млн. тонн гумуса.</w:t>
      </w:r>
    </w:p>
    <w:p>
      <w:pPr>
        <w:pStyle w:val="0"/>
        <w:spacing w:before="200" w:line-rule="auto"/>
        <w:ind w:firstLine="540"/>
        <w:jc w:val="both"/>
      </w:pPr>
      <w:r>
        <w:rPr>
          <w:sz w:val="20"/>
        </w:rPr>
        <w:t xml:space="preserve">Вместе с почвой при водной эрозии и дефляции с пашни смывается от 10 до 30 процентов вносимых удобрений и пестицидов, что оказывает негативное влияние на экологическое состояние территории, особенно на качество воды и воздуха.</w:t>
      </w:r>
    </w:p>
    <w:p>
      <w:pPr>
        <w:pStyle w:val="0"/>
        <w:spacing w:before="200" w:line-rule="auto"/>
        <w:ind w:firstLine="540"/>
        <w:jc w:val="both"/>
      </w:pPr>
      <w:r>
        <w:rPr>
          <w:sz w:val="20"/>
        </w:rPr>
        <w:t xml:space="preserve">Поверхностные водные объекты используются для нужд промышленности и энергетики, культурно-бытового водопользования и рекреации, водопотребления и водоотведения. Структура промышленного водопотребления в области в целом стабильна и распределяется следующим образом: 36,8 процента - на объекты хозяйственно-питьевого назначения и 38,2 процента - на производственные нужды; 21,1 процента - для осуществления аквакультуры (рыбоводства) и 3,7 процента - на водоснабжение предприятий сельского хозяйства. Основной объем - 34,3 процента, или 99,63 млн куб. метров приходится на предприятия жилищно-коммунального хозяйства и 38,7 процента (112,41 млн куб. метров) - на объекты промышленности.</w:t>
      </w:r>
    </w:p>
    <w:p>
      <w:pPr>
        <w:pStyle w:val="0"/>
        <w:spacing w:before="200" w:line-rule="auto"/>
        <w:ind w:firstLine="540"/>
        <w:jc w:val="both"/>
      </w:pPr>
      <w:r>
        <w:rPr>
          <w:sz w:val="20"/>
        </w:rPr>
        <w:t xml:space="preserve">Основная часть водосборов расположена в густонаселенных районах с развитой промышленностью и сельскохозяйственным производством.</w:t>
      </w:r>
    </w:p>
    <w:p>
      <w:pPr>
        <w:pStyle w:val="0"/>
        <w:spacing w:before="200" w:line-rule="auto"/>
        <w:ind w:firstLine="540"/>
        <w:jc w:val="both"/>
      </w:pPr>
      <w:r>
        <w:rPr>
          <w:sz w:val="20"/>
        </w:rPr>
        <w:t xml:space="preserve">По данным за 2012 год на учете в отделе водных ресурсов по Белгородской области Донского бассейнового водного управления состоит 436 предприятий - водопользователей. Из них 416 предприятий осуществляют забор воды из водных объектов, в том числе из поверхностных водных объектов - 29 предприятий и 406 - из подземных. Общий забор воды отчитывающимися водопользователями из природных водных объектов в 2012 году составил 320,68 млн куб. м. Из поверхностных водных объектов забрано 34,37 млн куб. м, из подземных - 286,31 млн куб. м (в том числе 117,89 млн куб. м шахтной воды). По состоянию на 1 января 2013 года 29 предприятий осуществляли забор воды из поверхностных водозаборов. Сброс сточных вод в поверхностные водные объекты осуществляли 37 водопользователей. Общий сброс сточных вод в поверхностные водные объекты в 2012 году составил 124,09 млн куб. м. Сброс сточных вод, подлежащих очистке, - 106,95 млн куб. м, из них загрязненных сточных вод - 72,33 млн куб. м, нормативно очищенных на очистных сооружениях - 34,61 млн куб. м.</w:t>
      </w:r>
    </w:p>
    <w:p>
      <w:pPr>
        <w:pStyle w:val="0"/>
        <w:spacing w:before="200" w:line-rule="auto"/>
        <w:ind w:firstLine="540"/>
        <w:jc w:val="both"/>
      </w:pPr>
      <w:r>
        <w:rPr>
          <w:sz w:val="20"/>
        </w:rPr>
        <w:t xml:space="preserve">По состоянию на 1 января 2013 года в зоне деятельности департамента природопользования и охраны окружающей среды Белгородской области состояло на учете 26 предприятий, имеющих 27 очистных сооружений, из них эффективно работают сооружения на 7 предприятиях. Экстремально высоких уровней загрязнения в 2012 году на водных объектах бассейна не отмечалось.</w:t>
      </w:r>
    </w:p>
    <w:p>
      <w:pPr>
        <w:pStyle w:val="0"/>
        <w:spacing w:before="200" w:line-rule="auto"/>
        <w:ind w:firstLine="540"/>
        <w:jc w:val="both"/>
      </w:pPr>
      <w:r>
        <w:rPr>
          <w:sz w:val="20"/>
        </w:rPr>
        <w:t xml:space="preserve">Прослеживается тенденция уменьшения поверхностного водозабора при увеличении подземного водозабора, в основном за счет увеличения забора воды на объектах сельского хозяйства - птицефабриках и свинокомплексах.</w:t>
      </w:r>
    </w:p>
    <w:p>
      <w:pPr>
        <w:pStyle w:val="0"/>
        <w:spacing w:before="200" w:line-rule="auto"/>
        <w:ind w:firstLine="540"/>
        <w:jc w:val="both"/>
      </w:pPr>
      <w:r>
        <w:rPr>
          <w:sz w:val="20"/>
        </w:rPr>
        <w:t xml:space="preserve">Гидротехнические сооружения прудов и водохранилищ, как правило, представляют собой земляные плотины с водосбросами и водоспусками различных типов. Сооружения Белгородского и Старооскольского водохранилищ относятся к III классу капитальности, все остальные сооружения - к IV классу.</w:t>
      </w:r>
    </w:p>
    <w:p>
      <w:pPr>
        <w:pStyle w:val="0"/>
        <w:spacing w:before="200" w:line-rule="auto"/>
        <w:ind w:firstLine="540"/>
        <w:jc w:val="both"/>
      </w:pPr>
      <w:r>
        <w:rPr>
          <w:sz w:val="20"/>
        </w:rPr>
        <w:t xml:space="preserve">За последние годы эксплуатации гидроузлов на большинстве из них образовалось значительное количество дефектов и локальных повреждений. Практически все сооружения нуждаются в проведении ремонтных работ различной степени капитальности. К тому же нарушаются правила эксплуатации гидроузлов, отсутствует постоянный надзор за сооружениями. Инструментальные наблюдения за параметрами гидротехнических сооружений не проводятся, контрольно-измерительная аппаратура на сооружениях отсутствует. На ряде гидроузлов основные водоподпорные сооружения - земляные плотины - находятся в удовлетворительном состоянии, а водопроводящие сооружения - паводковые водосбросы, водоспуски - находятся в предаварийном или аварийном состоянии. Последнее особенно относится к подъемному гидромеханическому оборудованию, к состоянию бетонных поверхностей быстротоков, гасителей и рисберм.</w:t>
      </w:r>
    </w:p>
    <w:p>
      <w:pPr>
        <w:pStyle w:val="0"/>
        <w:spacing w:before="200" w:line-rule="auto"/>
        <w:ind w:firstLine="540"/>
        <w:jc w:val="both"/>
      </w:pPr>
      <w:r>
        <w:rPr>
          <w:sz w:val="20"/>
        </w:rPr>
        <w:t xml:space="preserve">К объективной причине снижения уровня безопасности относится и временной фактор. С течением времени под влиянием природных и техногенных нагрузок первоначальное состояние сооружений постепенно ухудшается.</w:t>
      </w:r>
    </w:p>
    <w:p>
      <w:pPr>
        <w:pStyle w:val="0"/>
        <w:spacing w:before="200" w:line-rule="auto"/>
        <w:ind w:firstLine="540"/>
        <w:jc w:val="both"/>
      </w:pPr>
      <w:r>
        <w:rPr>
          <w:sz w:val="20"/>
        </w:rPr>
        <w:t xml:space="preserve">К субъективной причине снижения уровня безопасности сооружений относится недооценка со стороны их владельцев всей тяжести последствий возможных аварий на сооружениях. Особую опасность для населения и территории представляют бесхозяйные гидротехнические сооружения, требующие безотлагательного решения вопроса их принадлежности для обеспечения надлежащего технического состояния и уровня эксплуатации.</w:t>
      </w:r>
    </w:p>
    <w:p>
      <w:pPr>
        <w:pStyle w:val="0"/>
        <w:spacing w:before="200" w:line-rule="auto"/>
        <w:ind w:firstLine="540"/>
        <w:jc w:val="both"/>
      </w:pPr>
      <w:r>
        <w:rPr>
          <w:sz w:val="20"/>
        </w:rPr>
        <w:t xml:space="preserve">Необходимо отметить, что в случае развития ситуации, когда меры, направленные на повышение уровня безопасности гидротехнических сооружений, не будут предприняты, увеличится риск возникновения чрезвычайных ситуаций, связанных с разрушением плотин, дорог, нарушением энергоснабжения и связи, а также затоплением территорий с расположенными на них жилыми, промышленными строениями и объектами инфраструктуры.</w:t>
      </w:r>
    </w:p>
    <w:p>
      <w:pPr>
        <w:pStyle w:val="0"/>
        <w:spacing w:before="200" w:line-rule="auto"/>
        <w:ind w:firstLine="540"/>
        <w:jc w:val="both"/>
      </w:pPr>
      <w:r>
        <w:rPr>
          <w:sz w:val="20"/>
        </w:rPr>
        <w:t xml:space="preserve">Охрана окружающей среды и рациональное природопользование.</w:t>
      </w:r>
    </w:p>
    <w:p>
      <w:pPr>
        <w:pStyle w:val="0"/>
        <w:spacing w:before="200" w:line-rule="auto"/>
        <w:ind w:firstLine="540"/>
        <w:jc w:val="both"/>
      </w:pPr>
      <w:r>
        <w:rPr>
          <w:sz w:val="20"/>
        </w:rPr>
        <w:t xml:space="preserve">Реализация государственной политики в области охраны окружающей среды, обеспечения экологической безопасности и рационального использования природных ресурсов, ориентированной на принципы устойчивого развития страны в целом и отдельных ее регионов, требует применения эффективной системы управления процессом принятия решений, в которой следует опираться на достоверную и своевременную информацию мониторинга поверхностных вод, об источниках антропогенного воздействия на них, о существующих и возможных последствиях этих воздействий.</w:t>
      </w:r>
    </w:p>
    <w:p>
      <w:pPr>
        <w:pStyle w:val="0"/>
        <w:spacing w:before="200" w:line-rule="auto"/>
        <w:ind w:firstLine="540"/>
        <w:jc w:val="both"/>
      </w:pPr>
      <w:r>
        <w:rPr>
          <w:sz w:val="20"/>
        </w:rPr>
        <w:t xml:space="preserve">В целях совершенствования действующих механизмов государственного управления в области рационального использования, охраны и восстановления природных ресурсов области </w:t>
      </w:r>
      <w:hyperlink w:history="0" r:id="rId44" w:tooltip="Распоряжение правительства Белгородской обл. от 27.02.2012 N 116-рп &quot;Об утверждении концепции бассейнового природопользования в Белгородской области&quot; {КонсультантПлюс}">
        <w:r>
          <w:rPr>
            <w:sz w:val="20"/>
            <w:color w:val="0000ff"/>
          </w:rPr>
          <w:t xml:space="preserve">распоряжением</w:t>
        </w:r>
      </w:hyperlink>
      <w:r>
        <w:rPr>
          <w:sz w:val="20"/>
        </w:rPr>
        <w:t xml:space="preserve"> Правительства области от 27 февраля 2012 года N 116-рп утверждена концепция бассейнового природопользования.</w:t>
      </w:r>
    </w:p>
    <w:p>
      <w:pPr>
        <w:pStyle w:val="0"/>
        <w:spacing w:before="200" w:line-rule="auto"/>
        <w:ind w:firstLine="540"/>
        <w:jc w:val="both"/>
      </w:pPr>
      <w:r>
        <w:rPr>
          <w:sz w:val="20"/>
        </w:rPr>
        <w:t xml:space="preserve">С 2011 года разработка проектов бассейнового природопользования проведена для 31 речного бассейна. Всего разработано 60 проектов бассейнового природопользования на площади около 14 тыс. кв. км, что составляет более половины всей площади области.</w:t>
      </w:r>
    </w:p>
    <w:p>
      <w:pPr>
        <w:pStyle w:val="0"/>
        <w:spacing w:before="200" w:line-rule="auto"/>
        <w:ind w:firstLine="540"/>
        <w:jc w:val="both"/>
      </w:pPr>
      <w:r>
        <w:rPr>
          <w:sz w:val="20"/>
        </w:rPr>
        <w:t xml:space="preserve">В проектах бассейнового природопользования, на основе анализа социально-экономической и. экологической ситуации в бассейне реки, разрабатываются конкретные природоохранные мероприятия и рекомендации по снижению антропогенного воздействия и охране окружающей среды территории.</w:t>
      </w:r>
    </w:p>
    <w:p>
      <w:pPr>
        <w:pStyle w:val="0"/>
        <w:spacing w:before="200" w:line-rule="auto"/>
        <w:ind w:firstLine="540"/>
        <w:jc w:val="both"/>
      </w:pPr>
      <w:r>
        <w:rPr>
          <w:sz w:val="20"/>
        </w:rPr>
        <w:t xml:space="preserve">Комплексное, системное решение социально-экономических проблем водохозяйственного комплекса, тесно связанных с экологией, экономикой, техникой и сильно влияющих на качество и уровень жизни населения региона, нельзя рассматривать без экологического воспитания и просвещения.</w:t>
      </w:r>
    </w:p>
    <w:p>
      <w:pPr>
        <w:pStyle w:val="0"/>
        <w:spacing w:before="200" w:line-rule="auto"/>
        <w:ind w:firstLine="540"/>
        <w:jc w:val="both"/>
      </w:pPr>
      <w:r>
        <w:rPr>
          <w:sz w:val="20"/>
        </w:rPr>
        <w:t xml:space="preserve">В области активно ведется работа и по развитию системы непрерывного экологического образования. В 194 школах (30,3 процента) предмет "Экология" изучали 4180 учащихся, что составляет 3,1 процента от общего контингента учащихся области. В 142 школах организовано 179 факультативных курсов, на которых 7194 учащихся получили углубленные и дифференцированные знания по различным направлениям экологической науки, что составляет 5,3 процента от общего контингента учащихся области. В 582 экологических кружках, организованных на базе 164 школ, знания, умения и навыки практической экологии получали 9720 учащихся, что составляет 7,2 процента от общего контингента учащихся области.</w:t>
      </w:r>
    </w:p>
    <w:p>
      <w:pPr>
        <w:pStyle w:val="0"/>
        <w:spacing w:before="200" w:line-rule="auto"/>
        <w:ind w:firstLine="540"/>
        <w:jc w:val="both"/>
      </w:pPr>
      <w:r>
        <w:rPr>
          <w:sz w:val="20"/>
        </w:rPr>
        <w:t xml:space="preserve">Общее количество школ, в которых реализация экологического образования осуществляется комплексно, через предмет "Экология", факультативы и кружки, составляет 312 (48,7 процента) от общего количества школ области.</w:t>
      </w:r>
    </w:p>
    <w:p>
      <w:pPr>
        <w:pStyle w:val="0"/>
        <w:spacing w:before="200" w:line-rule="auto"/>
        <w:ind w:firstLine="540"/>
        <w:jc w:val="both"/>
      </w:pPr>
      <w:r>
        <w:rPr>
          <w:sz w:val="20"/>
        </w:rPr>
        <w:t xml:space="preserve">Анализ организации и состояния экологического образования и воспитания в региональной системе общего образования детей показал, что экологическим образованием охвачено 19,2 процента школьников сельских территорий и городских - 12,1 процента. Общий охват составляет 15,5 процента.</w:t>
      </w:r>
    </w:p>
    <w:p>
      <w:pPr>
        <w:pStyle w:val="0"/>
        <w:spacing w:before="200" w:line-rule="auto"/>
        <w:ind w:firstLine="540"/>
        <w:jc w:val="both"/>
      </w:pPr>
      <w:r>
        <w:rPr>
          <w:sz w:val="20"/>
        </w:rPr>
        <w:t xml:space="preserve">Развитию учебно-исследовательской деятельности способствует участие школьников в конкурсах и конференциях различного уровня.</w:t>
      </w:r>
    </w:p>
    <w:p>
      <w:pPr>
        <w:pStyle w:val="0"/>
        <w:spacing w:before="200" w:line-rule="auto"/>
        <w:ind w:firstLine="540"/>
        <w:jc w:val="both"/>
      </w:pPr>
      <w:r>
        <w:rPr>
          <w:sz w:val="20"/>
        </w:rPr>
        <w:t xml:space="preserve">Эффективная реализация системы экологического образования осуществляется большинством общеобразовательных учреждений области при творческом взаимодействии с учреждениями дополнительного образования эколого-биологической направленности.</w:t>
      </w:r>
    </w:p>
    <w:p>
      <w:pPr>
        <w:pStyle w:val="0"/>
        <w:spacing w:before="200" w:line-rule="auto"/>
        <w:ind w:firstLine="540"/>
        <w:jc w:val="both"/>
      </w:pPr>
      <w:r>
        <w:rPr>
          <w:sz w:val="20"/>
        </w:rPr>
        <w:t xml:space="preserve">За последние десятилетия в экологическом состоянии области отмечались следующие проблемы, отразившиеся на качестве окружающей среды и природных ресурсов:</w:t>
      </w:r>
    </w:p>
    <w:p>
      <w:pPr>
        <w:pStyle w:val="0"/>
        <w:spacing w:before="200" w:line-rule="auto"/>
        <w:ind w:firstLine="540"/>
        <w:jc w:val="both"/>
      </w:pPr>
      <w:r>
        <w:rPr>
          <w:sz w:val="20"/>
        </w:rPr>
        <w:t xml:space="preserve">- продолжение концентрации промышленности и транспорта в городах и поселках;</w:t>
      </w:r>
    </w:p>
    <w:p>
      <w:pPr>
        <w:pStyle w:val="0"/>
        <w:spacing w:before="200" w:line-rule="auto"/>
        <w:ind w:firstLine="540"/>
        <w:jc w:val="both"/>
      </w:pPr>
      <w:r>
        <w:rPr>
          <w:sz w:val="20"/>
        </w:rPr>
        <w:t xml:space="preserve">- развитие горнодобывающего, металлургического и агропромышленного комплексов;</w:t>
      </w:r>
    </w:p>
    <w:p>
      <w:pPr>
        <w:pStyle w:val="0"/>
        <w:spacing w:before="200" w:line-rule="auto"/>
        <w:ind w:firstLine="540"/>
        <w:jc w:val="both"/>
      </w:pPr>
      <w:r>
        <w:rPr>
          <w:sz w:val="20"/>
        </w:rPr>
        <w:t xml:space="preserve">- рост численности и плотности населения области;</w:t>
      </w:r>
    </w:p>
    <w:p>
      <w:pPr>
        <w:pStyle w:val="0"/>
        <w:spacing w:before="200" w:line-rule="auto"/>
        <w:ind w:firstLine="540"/>
        <w:jc w:val="both"/>
      </w:pPr>
      <w:r>
        <w:rPr>
          <w:sz w:val="20"/>
        </w:rPr>
        <w:t xml:space="preserve">- дальнейшее хозяйственное освоение территории области с одновременным уменьшением площадей относительно нетронутых естественных экосистем;</w:t>
      </w:r>
    </w:p>
    <w:p>
      <w:pPr>
        <w:pStyle w:val="0"/>
        <w:spacing w:before="200" w:line-rule="auto"/>
        <w:ind w:firstLine="540"/>
        <w:jc w:val="both"/>
      </w:pPr>
      <w:r>
        <w:rPr>
          <w:sz w:val="20"/>
        </w:rPr>
        <w:t xml:space="preserve">- возрастание антропогенных и техногенных нагрузок на окружающую среду с одновременным уменьшением экологической емкости региона;</w:t>
      </w:r>
    </w:p>
    <w:p>
      <w:pPr>
        <w:pStyle w:val="0"/>
        <w:spacing w:before="200" w:line-rule="auto"/>
        <w:ind w:firstLine="540"/>
        <w:jc w:val="both"/>
      </w:pPr>
      <w:r>
        <w:rPr>
          <w:sz w:val="20"/>
        </w:rPr>
        <w:t xml:space="preserve">- увеличение объемов изъятия невозобновляемых минеральных ресурсов (железной руды, мела, глин, песка, строительных камней, воды).</w:t>
      </w:r>
    </w:p>
    <w:p>
      <w:pPr>
        <w:pStyle w:val="0"/>
        <w:spacing w:before="200" w:line-rule="auto"/>
        <w:ind w:firstLine="540"/>
        <w:jc w:val="both"/>
      </w:pPr>
      <w:r>
        <w:rPr>
          <w:sz w:val="20"/>
        </w:rPr>
        <w:t xml:space="preserve">Основные недостатки существующей системы экологического мониторинга:</w:t>
      </w:r>
    </w:p>
    <w:p>
      <w:pPr>
        <w:pStyle w:val="0"/>
        <w:spacing w:before="200" w:line-rule="auto"/>
        <w:ind w:firstLine="540"/>
        <w:jc w:val="both"/>
      </w:pPr>
      <w:r>
        <w:rPr>
          <w:sz w:val="20"/>
        </w:rPr>
        <w:t xml:space="preserve">- сокращение гидрологических станций и постов наблюдений не позволяет достоверно представлять информацию о гидрологическом и гидрохимическом состоянии водных объектов;</w:t>
      </w:r>
    </w:p>
    <w:p>
      <w:pPr>
        <w:pStyle w:val="0"/>
        <w:spacing w:before="200" w:line-rule="auto"/>
        <w:ind w:firstLine="540"/>
        <w:jc w:val="both"/>
      </w:pPr>
      <w:r>
        <w:rPr>
          <w:sz w:val="20"/>
        </w:rPr>
        <w:t xml:space="preserve">- отсутствие единой базы данных по экологическому мониторингу;</w:t>
      </w:r>
    </w:p>
    <w:p>
      <w:pPr>
        <w:pStyle w:val="0"/>
        <w:spacing w:before="200" w:line-rule="auto"/>
        <w:ind w:firstLine="540"/>
        <w:jc w:val="both"/>
      </w:pPr>
      <w:r>
        <w:rPr>
          <w:sz w:val="20"/>
        </w:rPr>
        <w:t xml:space="preserve">- отсутствие информации по фоновым показателям параметров окружающей среды.</w:t>
      </w:r>
    </w:p>
    <w:p>
      <w:pPr>
        <w:pStyle w:val="0"/>
        <w:spacing w:before="200" w:line-rule="auto"/>
        <w:ind w:firstLine="540"/>
        <w:jc w:val="both"/>
      </w:pPr>
      <w:r>
        <w:rPr>
          <w:sz w:val="20"/>
        </w:rPr>
        <w:t xml:space="preserve">Сохранение, воспроизводство и использование животного мира.</w:t>
      </w:r>
    </w:p>
    <w:p>
      <w:pPr>
        <w:pStyle w:val="0"/>
        <w:spacing w:before="200" w:line-rule="auto"/>
        <w:ind w:firstLine="540"/>
        <w:jc w:val="both"/>
      </w:pPr>
      <w:r>
        <w:rPr>
          <w:sz w:val="20"/>
        </w:rPr>
        <w:t xml:space="preserve">Охрана животного мира и рациональное его использование является одной из естественных основ экологического благополучия, устойчивого социально-экономического развития и благосостояния жителей области.</w:t>
      </w:r>
    </w:p>
    <w:p>
      <w:pPr>
        <w:pStyle w:val="0"/>
        <w:spacing w:before="200" w:line-rule="auto"/>
        <w:ind w:firstLine="540"/>
        <w:jc w:val="both"/>
      </w:pPr>
      <w:r>
        <w:rPr>
          <w:sz w:val="20"/>
        </w:rPr>
        <w:t xml:space="preserve">Экономическая деятельность по использованию видов животного мира, отнесенных действующим законодательством к охотничьим ресурсам и постоянно или временно обитающих на территории области, имеет преимущественно рекреационный характер. Этой деятельностью на территории области, на основании долгосрочных лицензий и охотхозяйственных соглашений, занимаются 23 юридических лица - охотпользователя. На условиях полной или частичной занятости в охотничьем хозяйстве области работает 215 человек.</w:t>
      </w:r>
    </w:p>
    <w:p>
      <w:pPr>
        <w:pStyle w:val="0"/>
        <w:jc w:val="both"/>
      </w:pPr>
      <w:r>
        <w:rPr>
          <w:sz w:val="20"/>
        </w:rPr>
        <w:t xml:space="preserve">(в ред. </w:t>
      </w:r>
      <w:hyperlink w:history="0" r:id="rId45"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Фауна области, по оценкам специалистов, насчитывает около 12000 видов животных, из них 60 видов млекопитающих, 40 видов рыб, 20 видов земноводных и пресмыкающихся, 279 видов птиц, в том числе 152 - гнездящихся, и около 11600 видов беспозвоночных, среди которых особенно многочисленны насекомые. Около 10 процентов видов животных относятся к числу нуждающихся в особой охране. 320 видов включены в Красную книгу Белгородской области.</w:t>
      </w:r>
    </w:p>
    <w:p>
      <w:pPr>
        <w:pStyle w:val="0"/>
        <w:spacing w:before="200" w:line-rule="auto"/>
        <w:ind w:firstLine="540"/>
        <w:jc w:val="both"/>
      </w:pPr>
      <w:r>
        <w:rPr>
          <w:sz w:val="20"/>
        </w:rPr>
        <w:t xml:space="preserve">Площадь среды обитания объектов животного мира - 2470,2 тыс. га.</w:t>
      </w:r>
    </w:p>
    <w:p>
      <w:pPr>
        <w:pStyle w:val="0"/>
        <w:jc w:val="both"/>
      </w:pPr>
      <w:r>
        <w:rPr>
          <w:sz w:val="20"/>
        </w:rPr>
        <w:t xml:space="preserve">(в ред. </w:t>
      </w:r>
      <w:hyperlink w:history="0" r:id="rId46"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Площадь закрепленных охотничьих угодий - 1519,4 тыс. га.</w:t>
      </w:r>
    </w:p>
    <w:p>
      <w:pPr>
        <w:pStyle w:val="0"/>
        <w:jc w:val="both"/>
      </w:pPr>
      <w:r>
        <w:rPr>
          <w:sz w:val="20"/>
        </w:rPr>
        <w:t xml:space="preserve">(в ред. </w:t>
      </w:r>
      <w:hyperlink w:history="0" r:id="rId47"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Площадь общедоступных охотничьих угодий - 694,7 тыс. га.</w:t>
      </w:r>
    </w:p>
    <w:p>
      <w:pPr>
        <w:pStyle w:val="0"/>
        <w:jc w:val="both"/>
      </w:pPr>
      <w:r>
        <w:rPr>
          <w:sz w:val="20"/>
        </w:rPr>
        <w:t xml:space="preserve">(в ред. </w:t>
      </w:r>
      <w:hyperlink w:history="0" r:id="rId4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Площадь особо охраняемых природных территорий регионального значения, в том числе 15 государственных природных комплексных (ландшафтных) заказников регионального значения и 2 государственных природных парков - 268,4 тыс. га.</w:t>
      </w:r>
    </w:p>
    <w:p>
      <w:pPr>
        <w:pStyle w:val="0"/>
        <w:jc w:val="both"/>
      </w:pPr>
      <w:r>
        <w:rPr>
          <w:sz w:val="20"/>
        </w:rPr>
        <w:t xml:space="preserve">(в ред. </w:t>
      </w:r>
      <w:hyperlink w:history="0" r:id="rId49"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Абзац исключен. - </w:t>
      </w:r>
      <w:hyperlink w:history="0" r:id="rId5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На территории области создана система особо охраняемых природных территорий, состоящая из особо охраняемых природных территорий федерального значения, особо охраняемых природных территорий регионального значения, которая включает в себя 15 государственных природных комплексных (ландшафтных) заказников регионального значения и двух государственных природных парков общей площадью 12,4 тыс. га. Задачи сохранения и воспроизводства животного мира также решают зоны охраны охотничьих ресурсов, созданные </w:t>
      </w:r>
      <w:hyperlink w:history="0" r:id="rId51" w:tooltip="Постановление губернатора Белгородской обл. от 04.05.2010 N 33 (ред. от 12.12.2022) &quot;О зонах охраны охотничьих ресурсов&quot; {КонсультантПлюс}">
        <w:r>
          <w:rPr>
            <w:sz w:val="20"/>
            <w:color w:val="0000ff"/>
          </w:rPr>
          <w:t xml:space="preserve">постановлением</w:t>
        </w:r>
      </w:hyperlink>
      <w:r>
        <w:rPr>
          <w:sz w:val="20"/>
        </w:rPr>
        <w:t xml:space="preserve"> Губернатора Белгородской области от 4 мая 2010 года N 33 "О зонах охраны охотничьих ресурсов" на территориях закрепленных и общедоступных охотничьих угодий, на которых ограничено использование охотничьих ресурсов.</w:t>
      </w:r>
    </w:p>
    <w:p>
      <w:pPr>
        <w:pStyle w:val="0"/>
        <w:jc w:val="both"/>
      </w:pPr>
      <w:r>
        <w:rPr>
          <w:sz w:val="20"/>
        </w:rPr>
        <w:t xml:space="preserve">(в ред. </w:t>
      </w:r>
      <w:hyperlink w:history="0" r:id="rId52"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69,8 процента охотничьих угодий области закреплено за юридическими лицами. Охотничьи угодья, в которых физические лица имеют право свободно пребывать в целях охоты, - общедоступные охотничьи угодья составляют 30,2 процента от их общей площади.</w:t>
      </w:r>
    </w:p>
    <w:p>
      <w:pPr>
        <w:pStyle w:val="0"/>
        <w:jc w:val="both"/>
      </w:pPr>
      <w:r>
        <w:rPr>
          <w:sz w:val="20"/>
        </w:rPr>
        <w:t xml:space="preserve">(в ред. </w:t>
      </w:r>
      <w:hyperlink w:history="0" r:id="rId5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Охотничьими ресурсами на территории области являются 73 вида животных, из них 46 видов птиц и 27 видов зверей. Из них в хозяйственный оборот вовлечено 46,1 процента видов, а в интенсивный - 22,4 процента. Основной вид пользования дикими животными - любительская и спортивная охота. Охота проводится в два периода - весенний и осенне-зимний.</w:t>
      </w:r>
    </w:p>
    <w:p>
      <w:pPr>
        <w:pStyle w:val="0"/>
        <w:spacing w:before="200" w:line-rule="auto"/>
        <w:ind w:firstLine="540"/>
        <w:jc w:val="both"/>
      </w:pPr>
      <w:r>
        <w:rPr>
          <w:sz w:val="20"/>
        </w:rPr>
        <w:t xml:space="preserve">Росту численности большинства видов охотничьих ресурсов и повышению эффективности их использования способствует расширение площадей закрепленных охотничьих угодий на территории области (около 60 процентов охотугодий области), что создает условия для развития охотничьего хозяйства, повышения эффективности воспроизводства охотничьих ресурсов, обеспечивает постепенный рост численности большинства видов охотничьих ресурсов, создает рабочие места в сельской местности). Данные государственного мониторинга охотничьих ресурсов и среды их обитания показывают, что в условиях закрепления охотничьих угодий охотпользователи более эффективно осуществляют ведение охотничьего хозяйства, используют современные методы, вкладывают значительные средства, осуществляют производственный охотничий контроль в угодьях и обеспечивают снижение уровня браконьерства.</w:t>
      </w:r>
    </w:p>
    <w:p>
      <w:pPr>
        <w:pStyle w:val="0"/>
        <w:spacing w:before="200" w:line-rule="auto"/>
        <w:ind w:firstLine="540"/>
        <w:jc w:val="both"/>
      </w:pPr>
      <w:r>
        <w:rPr>
          <w:sz w:val="20"/>
        </w:rPr>
        <w:t xml:space="preserve">Среднегодовая добыча основных охотничьих видов составляет: благородный олень - 60 особей, косуля европейская - 350 особей, заяц-русак - 5000 особей, лисица - 6000 особей, пернатая дичь - 10000 особей, в том числе мигрирующие.</w:t>
      </w:r>
    </w:p>
    <w:p>
      <w:pPr>
        <w:pStyle w:val="0"/>
        <w:jc w:val="both"/>
      </w:pPr>
      <w:r>
        <w:rPr>
          <w:sz w:val="20"/>
        </w:rPr>
        <w:t xml:space="preserve">(в ред. </w:t>
      </w:r>
      <w:hyperlink w:history="0" r:id="rId5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Современная ситуация, сложившаяся в сфере охраны и использования животного мира, характеризуется наличием проблем, имеющих долговременный характер:</w:t>
      </w:r>
    </w:p>
    <w:p>
      <w:pPr>
        <w:pStyle w:val="0"/>
        <w:spacing w:before="200" w:line-rule="auto"/>
        <w:ind w:firstLine="540"/>
        <w:jc w:val="both"/>
      </w:pPr>
      <w:r>
        <w:rPr>
          <w:sz w:val="20"/>
        </w:rPr>
        <w:t xml:space="preserve">- несовершенство правовых механизмов по регулированию отношений, складывающихся в сфере охраны, воспроизводства и использования объектов животного мира, в том числе и по полувольному содержанию и разведению дичи;</w:t>
      </w:r>
    </w:p>
    <w:p>
      <w:pPr>
        <w:pStyle w:val="0"/>
        <w:spacing w:before="200" w:line-rule="auto"/>
        <w:ind w:firstLine="540"/>
        <w:jc w:val="both"/>
      </w:pPr>
      <w:r>
        <w:rPr>
          <w:sz w:val="20"/>
        </w:rPr>
        <w:t xml:space="preserve">- недостаточно эффективная деятельность охотпользователей по сохранению и использованию охотничьих ресурсов, оказанию услуг при организации охоты, а также несоблюдение ими установленных требований;</w:t>
      </w:r>
    </w:p>
    <w:p>
      <w:pPr>
        <w:pStyle w:val="0"/>
        <w:spacing w:before="200" w:line-rule="auto"/>
        <w:ind w:firstLine="540"/>
        <w:jc w:val="both"/>
      </w:pPr>
      <w:r>
        <w:rPr>
          <w:sz w:val="20"/>
        </w:rPr>
        <w:t xml:space="preserve">- недостаточно эффективная финансовая государственная поддержка охраны и воспроизводства объектов животного мира, в том числе наиболее ценных (дикие копытные животные, барсук, сурок и др.);</w:t>
      </w:r>
    </w:p>
    <w:p>
      <w:pPr>
        <w:pStyle w:val="0"/>
        <w:spacing w:before="200" w:line-rule="auto"/>
        <w:ind w:firstLine="540"/>
        <w:jc w:val="both"/>
      </w:pPr>
      <w:r>
        <w:rPr>
          <w:sz w:val="20"/>
        </w:rPr>
        <w:t xml:space="preserve">- недостаток результатов ресурсных и экосистемных научных исследований объектов животного мира области;</w:t>
      </w:r>
    </w:p>
    <w:p>
      <w:pPr>
        <w:pStyle w:val="0"/>
        <w:spacing w:before="200" w:line-rule="auto"/>
        <w:ind w:firstLine="540"/>
        <w:jc w:val="both"/>
      </w:pPr>
      <w:r>
        <w:rPr>
          <w:sz w:val="20"/>
        </w:rPr>
        <w:t xml:space="preserve">- значительная антропогенная нагрузка на экосистемы области;</w:t>
      </w:r>
    </w:p>
    <w:p>
      <w:pPr>
        <w:pStyle w:val="0"/>
        <w:spacing w:before="200" w:line-rule="auto"/>
        <w:ind w:firstLine="540"/>
        <w:jc w:val="both"/>
      </w:pPr>
      <w:r>
        <w:rPr>
          <w:sz w:val="20"/>
        </w:rPr>
        <w:t xml:space="preserve">- незаконная добыча объектов животного мира;</w:t>
      </w:r>
    </w:p>
    <w:p>
      <w:pPr>
        <w:pStyle w:val="0"/>
        <w:spacing w:before="200" w:line-rule="auto"/>
        <w:ind w:firstLine="540"/>
        <w:jc w:val="both"/>
      </w:pPr>
      <w:r>
        <w:rPr>
          <w:sz w:val="20"/>
        </w:rPr>
        <w:t xml:space="preserve">- сокращение численности и ареала отдельных видов объектов животного мира;</w:t>
      </w:r>
    </w:p>
    <w:p>
      <w:pPr>
        <w:pStyle w:val="0"/>
        <w:spacing w:before="200" w:line-rule="auto"/>
        <w:ind w:firstLine="540"/>
        <w:jc w:val="both"/>
      </w:pPr>
      <w:r>
        <w:rPr>
          <w:sz w:val="20"/>
        </w:rPr>
        <w:t xml:space="preserve">- наличие угрозы заноса и распространения особо опасных и карантинных болезней, в том числе общих для человека и животных;</w:t>
      </w:r>
    </w:p>
    <w:p>
      <w:pPr>
        <w:pStyle w:val="0"/>
        <w:spacing w:before="200" w:line-rule="auto"/>
        <w:ind w:firstLine="540"/>
        <w:jc w:val="both"/>
      </w:pPr>
      <w:r>
        <w:rPr>
          <w:sz w:val="20"/>
        </w:rPr>
        <w:t xml:space="preserve">- недостаточная информационно-аналитическая поддержка охотничьего хозяйства;</w:t>
      </w:r>
    </w:p>
    <w:p>
      <w:pPr>
        <w:pStyle w:val="0"/>
        <w:spacing w:before="200" w:line-rule="auto"/>
        <w:ind w:firstLine="540"/>
        <w:jc w:val="both"/>
      </w:pPr>
      <w:r>
        <w:rPr>
          <w:sz w:val="20"/>
        </w:rPr>
        <w:t xml:space="preserve">- нерациональное закрепление охотугодий области без учета интересов населения области и распространения популяционных группировок охотничьих ресурсов;</w:t>
      </w:r>
    </w:p>
    <w:p>
      <w:pPr>
        <w:pStyle w:val="0"/>
        <w:spacing w:before="200" w:line-rule="auto"/>
        <w:ind w:firstLine="540"/>
        <w:jc w:val="both"/>
      </w:pPr>
      <w:r>
        <w:rPr>
          <w:sz w:val="20"/>
        </w:rPr>
        <w:t xml:space="preserve">- недостаточно высокий уровень экологической культуры пользователей объектов животного мира и среды их обитания.</w:t>
      </w:r>
    </w:p>
    <w:p>
      <w:pPr>
        <w:pStyle w:val="0"/>
        <w:spacing w:before="200" w:line-rule="auto"/>
        <w:ind w:firstLine="540"/>
        <w:jc w:val="both"/>
      </w:pPr>
      <w:r>
        <w:rPr>
          <w:sz w:val="20"/>
        </w:rPr>
        <w:t xml:space="preserve">Следствием этих проблем являются:</w:t>
      </w:r>
    </w:p>
    <w:p>
      <w:pPr>
        <w:pStyle w:val="0"/>
        <w:spacing w:before="200" w:line-rule="auto"/>
        <w:ind w:firstLine="540"/>
        <w:jc w:val="both"/>
      </w:pPr>
      <w:r>
        <w:rPr>
          <w:sz w:val="20"/>
        </w:rPr>
        <w:t xml:space="preserve">- неудовлетворенность граждан доступом к пользованию объектами животного мира, обитающими на территории области;</w:t>
      </w:r>
    </w:p>
    <w:p>
      <w:pPr>
        <w:pStyle w:val="0"/>
        <w:spacing w:before="200" w:line-rule="auto"/>
        <w:ind w:firstLine="540"/>
        <w:jc w:val="both"/>
      </w:pPr>
      <w:r>
        <w:rPr>
          <w:sz w:val="20"/>
        </w:rPr>
        <w:t xml:space="preserve">- низкий объем инвестиций в дальнейшее развитие ведения охотничьего хозяйства области;</w:t>
      </w:r>
    </w:p>
    <w:p>
      <w:pPr>
        <w:pStyle w:val="0"/>
        <w:spacing w:before="200" w:line-rule="auto"/>
        <w:ind w:firstLine="540"/>
        <w:jc w:val="both"/>
      </w:pPr>
      <w:r>
        <w:rPr>
          <w:sz w:val="20"/>
        </w:rPr>
        <w:t xml:space="preserve">- сокращение численности отдельных видов животного мира на территории области.</w:t>
      </w:r>
    </w:p>
    <w:p>
      <w:pPr>
        <w:pStyle w:val="0"/>
        <w:spacing w:before="200" w:line-rule="auto"/>
        <w:ind w:firstLine="540"/>
        <w:jc w:val="both"/>
      </w:pPr>
      <w:r>
        <w:rPr>
          <w:sz w:val="20"/>
        </w:rPr>
        <w:t xml:space="preserve">Решение проблем охраны животного мира возможно посредством:</w:t>
      </w:r>
    </w:p>
    <w:p>
      <w:pPr>
        <w:pStyle w:val="0"/>
        <w:spacing w:before="200" w:line-rule="auto"/>
        <w:ind w:firstLine="540"/>
        <w:jc w:val="both"/>
      </w:pPr>
      <w:r>
        <w:rPr>
          <w:sz w:val="20"/>
        </w:rPr>
        <w:t xml:space="preserve">- осуществления государственного контроля и надзора с целью выявления, предупреждения и пресечения нарушений требований в области охоты и сохранения охотничьих ресурсов, установленных Федеральным </w:t>
      </w:r>
      <w:hyperlink w:history="0" r:id="rId55"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24 июля 2009 года N 209-ФЗ "Об охоте и о сохранении охотничьих ресурсов и о внесении изменений в отдельные законодательные акты Российской Федерации", другими федеральными законами и принимаемыми в соответствии с ними иными нормативными правовыми актами Российской Федерации, а также законами и иными нормативными правовыми актами Белгородской области, в том числе в сфере охраны объектов животного мира, не отнесенных к охотничьим ресурсам;</w:t>
      </w:r>
    </w:p>
    <w:p>
      <w:pPr>
        <w:pStyle w:val="0"/>
        <w:spacing w:before="200" w:line-rule="auto"/>
        <w:ind w:firstLine="540"/>
        <w:jc w:val="both"/>
      </w:pPr>
      <w:r>
        <w:rPr>
          <w:sz w:val="20"/>
        </w:rPr>
        <w:t xml:space="preserve">- разработки и утверждения на уровне региона схемы размещения, использования и охраны охотничьих угодий и зонирования территории области в отношении объектов животного мира, не отнесенных к объектам охоты. Данное полномочие возложено на субъекты Российской Федерации </w:t>
      </w:r>
      <w:hyperlink w:history="0" r:id="rId56"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статьей 34</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Разработка данного документа должна быть осуществлена по единой методологической основе (с учетом возможности комплексного использования охотничьих, рыбных и недревесных растительных ресурсов);</w:t>
      </w:r>
    </w:p>
    <w:p>
      <w:pPr>
        <w:pStyle w:val="0"/>
        <w:spacing w:before="200" w:line-rule="auto"/>
        <w:ind w:firstLine="540"/>
        <w:jc w:val="both"/>
      </w:pPr>
      <w:r>
        <w:rPr>
          <w:sz w:val="20"/>
        </w:rPr>
        <w:t xml:space="preserve">- выявления неэффективно работающих хозяйств и перераспределения площади в установленном порядке в результате аукционов между лицами, желающими инвестировать в развитие биоразнообразия и экологического туризма области.</w:t>
      </w:r>
    </w:p>
    <w:p>
      <w:pPr>
        <w:pStyle w:val="0"/>
        <w:spacing w:before="200" w:line-rule="auto"/>
        <w:ind w:firstLine="540"/>
        <w:jc w:val="both"/>
      </w:pPr>
      <w:r>
        <w:rPr>
          <w:sz w:val="20"/>
        </w:rPr>
        <w:t xml:space="preserve">Для сохранения эпизоотического благополучия области необходимо ежегодное проведение ветеринарных профилактических мероприятий против бешенства диких плотоядных животных и мониторинговых лабораторно-диагностических исследований тушек на грипп диких птиц, кабанов - на АЧС, диких плотоядных - на бешенство, трихинеллез и другие особо опасные болезни животных, в том числе общие для человека и животных.</w:t>
      </w:r>
    </w:p>
    <w:p>
      <w:pPr>
        <w:pStyle w:val="0"/>
        <w:spacing w:before="200" w:line-rule="auto"/>
        <w:ind w:firstLine="540"/>
        <w:jc w:val="both"/>
      </w:pPr>
      <w:r>
        <w:rPr>
          <w:sz w:val="20"/>
        </w:rPr>
        <w:t xml:space="preserve">Любительское рыболовство и охрана водных биоресурсов.</w:t>
      </w:r>
    </w:p>
    <w:p>
      <w:pPr>
        <w:pStyle w:val="0"/>
        <w:spacing w:before="200" w:line-rule="auto"/>
        <w:ind w:firstLine="540"/>
        <w:jc w:val="both"/>
      </w:pPr>
      <w:r>
        <w:rPr>
          <w:sz w:val="20"/>
        </w:rPr>
        <w:t xml:space="preserve">Рыболовство было и остается одним из самых массовых увлечений жителей области, связанных с активным отдыхом на природе. Рыбы составляют основной вид водных биоресурсов, используемых для целей личного потребления и рекреации. Разнообразие видового состава ихтиофауны зависит от особенностей водоемов, их проточности и площади акватории. По экспертным оценкам, активным рыболовством занимается более 140 тысяч жителей области.</w:t>
      </w:r>
    </w:p>
    <w:p>
      <w:pPr>
        <w:pStyle w:val="0"/>
        <w:spacing w:before="200" w:line-rule="auto"/>
        <w:ind w:firstLine="540"/>
        <w:jc w:val="both"/>
      </w:pPr>
      <w:r>
        <w:rPr>
          <w:sz w:val="20"/>
        </w:rPr>
        <w:t xml:space="preserve">На территории области находится 575 водотоков и 783 водоема рыбохозяйственного значения, которые являются средой обитания более 1000 видов (подвидов) водных биоресурсов. В Красную книгу Российской Федерации и Красную книгу Белгородской области занесены представители 18 видов круглоротых и костных рыб, 1 вид двустворчатых моллюсков, 2 вида пиявок, 2 вида насекомых, 2 вида ракообразных, 1 вид земноводных, 2 вида пресмыкающихся и 5 видов водных растений. Водные объекты области являются средой обитания 9 семейств пресноводных рыб, которые представлены 39 видами рыб, из которых 7 видов относятся к непромысловым видам из-за своих очень мелких размеров.</w:t>
      </w:r>
    </w:p>
    <w:p>
      <w:pPr>
        <w:pStyle w:val="0"/>
        <w:spacing w:before="200" w:line-rule="auto"/>
        <w:ind w:firstLine="540"/>
        <w:jc w:val="both"/>
      </w:pPr>
      <w:r>
        <w:rPr>
          <w:sz w:val="20"/>
        </w:rPr>
        <w:t xml:space="preserve">По результатам проведенных в 2012 - 2013 годах научных исследований видового разнообразия ихтиофауны водоемов области и мониторинга состояния водных биологических ресурсов отмечено, что 8 видов рыб в уловах уже не встречаются, 6 видов рыб встречаются редко, а 13 видов рыб встречаются в уловах повсеместно. В настоящее время в водоемах области фактически обитает 29 видов рыб. Наиболее разнообразен видовой состав ихтиофауны водоемов Алексеевского, Белгородского, Валуйского, Вейделевского, Старооскольского и Шебекинского районов. Малочисленный видовой состав в водоемах Краснояружского и Прохоровского районов. На водоемах области имеется 96 основных нерестовых участков и 70 основных зимовальных ям рыбы.</w:t>
      </w:r>
    </w:p>
    <w:p>
      <w:pPr>
        <w:pStyle w:val="0"/>
        <w:spacing w:before="200" w:line-rule="auto"/>
        <w:ind w:firstLine="540"/>
        <w:jc w:val="both"/>
      </w:pPr>
      <w:r>
        <w:rPr>
          <w:sz w:val="20"/>
        </w:rPr>
        <w:t xml:space="preserve">В 2013 году в ходе реализации долгосрочной целевой программы "Организация и развитие любительского и спортивного рыболовства на территории Белгородской области на 2010 - 2013 годы" на региональном и местном уровнях созданы условия для развития рыболовно-рекреационной деятельности на водных объектах области, сохранения и воспроизводства водных биоресурсов на территории области, в том числе редких и находящихся под угрозой исчезновения видов водных биоресурсов, увеличения численности ценных видов рыб, развития рыболовного спорта и рыболовного туризма, повышения уровня экологических знаний и культуры рыболовства населения области.</w:t>
      </w:r>
    </w:p>
    <w:p>
      <w:pPr>
        <w:pStyle w:val="0"/>
        <w:spacing w:before="200" w:line-rule="auto"/>
        <w:ind w:firstLine="540"/>
        <w:jc w:val="both"/>
      </w:pPr>
      <w:r>
        <w:rPr>
          <w:sz w:val="20"/>
        </w:rPr>
        <w:t xml:space="preserve">Основной базой реализации программных мероприятий являются водные объекты, используемые рыбными хозяйствами области для организации любительского и спортивного рыболовства, а также организуемые в ходе реализации проекта "Зеленая столица" зоны рекреации местного значения. На 193 водных объектах проведены работы по созданию комфортных и безопасных условий для развития организованного рыболовства, развитию инфраструктуры и сферы услуг для любительского и спортивного вылова рыбы. На 84 водоемах уже имеется или совершенствуется соответствующая инфраструктура (стационарные архитектурные сооружения) для рыболовного туризма с оказанием услуг по водной рекреации. Начал развиваться рыболовный спорт, которым все больше увлекается молодежь и подростки. Впервые за последние 30 лет в 15 муниципальных образованиях области на 32 водных объектах проведены комплексные научные исследования по уточнению видового состава ихтиофауны, гидрохимического состояния среды обитания рыб и других водных биоресурсов. Получены научно обоснованные рекомендации по реконструкции ихтиофауны, пополнению запасов водных биоресурсов области, по оптимальной антропогенной нагрузке и возможным объемам любительского вылова водных биоресурсов. Для сохранения и воспроизводства водных биоресурсов, в том числе редких и находящихся под угрозой исчезновения видов, на 14 водных объектах проведено научно обоснованное зарыбление различными видами рыб общим весом 26,2 тонны, в том числе рыбопосадочным материалом редких и исчезающих видов 6,9 тонны. На 26 водных объектах выпущено 61,8 тонны растительноядных и хищных видов рыб.</w:t>
      </w:r>
    </w:p>
    <w:p>
      <w:pPr>
        <w:pStyle w:val="0"/>
        <w:spacing w:before="200" w:line-rule="auto"/>
        <w:ind w:firstLine="540"/>
        <w:jc w:val="both"/>
      </w:pPr>
      <w:r>
        <w:rPr>
          <w:sz w:val="20"/>
        </w:rPr>
        <w:t xml:space="preserve">Разработаны и реализованы проекты по воспроизводству ценных, редких и находящихся под угрозой исчезновения видов рыб, рыбохозяйственному мониторингу с применением современных геоинформационных технологий.</w:t>
      </w:r>
    </w:p>
    <w:p>
      <w:pPr>
        <w:pStyle w:val="0"/>
        <w:jc w:val="both"/>
      </w:pPr>
      <w:r>
        <w:rPr>
          <w:sz w:val="20"/>
        </w:rPr>
        <w:t xml:space="preserve">(в ред. </w:t>
      </w:r>
      <w:hyperlink w:history="0" r:id="rId57"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Возобновлен мониторинг состояния водных биологических ресурсов и среды их обитания. Ежегодно проводятся учеты посещаемости водных объектов рыболовами и их социологический опрос. Проведены работы по формированию базы данных регионального рыбохозяйственного реестра. В целях проведения единой политики деятельности рыболовных хозяйств и осуществления рыболовства на водных объектах в работе с хозяйствующими субъектами и рыболовами используются такие формы работы, как проведение круглых столов, общественных слушаний, лекций и методических занятий, а также подготовка методических материалов, памяток, плакатов и буклетов.</w:t>
      </w:r>
    </w:p>
    <w:p>
      <w:pPr>
        <w:pStyle w:val="0"/>
        <w:jc w:val="both"/>
      </w:pPr>
      <w:r>
        <w:rPr>
          <w:sz w:val="20"/>
        </w:rPr>
        <w:t xml:space="preserve">(в ред. </w:t>
      </w:r>
      <w:hyperlink w:history="0" r:id="rId5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Ежегодно проводятся спортивные соревнования по рыболовному спорту, культурно-спортивные мероприятия, творческие конкурсы и викторины для любителей рыбной ловли.</w:t>
      </w:r>
    </w:p>
    <w:p>
      <w:pPr>
        <w:pStyle w:val="0"/>
        <w:spacing w:before="200" w:line-rule="auto"/>
        <w:ind w:firstLine="540"/>
        <w:jc w:val="both"/>
      </w:pPr>
      <w:r>
        <w:rPr>
          <w:sz w:val="20"/>
        </w:rPr>
        <w:t xml:space="preserve">В 2019 году средний вылов одного рыболова за один выезд увеличился на 67,5 процента и составил 3,5 кг (против 2,0 кг в 2010 году).</w:t>
      </w:r>
    </w:p>
    <w:p>
      <w:pPr>
        <w:pStyle w:val="0"/>
        <w:jc w:val="both"/>
      </w:pPr>
      <w:r>
        <w:rPr>
          <w:sz w:val="20"/>
        </w:rPr>
        <w:t xml:space="preserve">(в ред. </w:t>
      </w:r>
      <w:hyperlink w:history="0" r:id="rId59"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Несмотря на достигнутые положительные тенденции функционирования и развития рыболовства, сохранения и воспроизводства различных видов рыб и других водных биоресурсов на водных объектах области основными проблемами, сдерживающими развитие любительского рыболовства в области, являются:</w:t>
      </w:r>
    </w:p>
    <w:p>
      <w:pPr>
        <w:pStyle w:val="0"/>
        <w:spacing w:before="200" w:line-rule="auto"/>
        <w:ind w:firstLine="540"/>
        <w:jc w:val="both"/>
      </w:pPr>
      <w:r>
        <w:rPr>
          <w:sz w:val="20"/>
        </w:rPr>
        <w:t xml:space="preserve">- несовершенство правовых механизмов по организации рыболовства на прудах и обводненных карьерах;</w:t>
      </w:r>
    </w:p>
    <w:p>
      <w:pPr>
        <w:pStyle w:val="0"/>
        <w:spacing w:before="200" w:line-rule="auto"/>
        <w:ind w:firstLine="540"/>
        <w:jc w:val="both"/>
      </w:pPr>
      <w:r>
        <w:rPr>
          <w:sz w:val="20"/>
        </w:rPr>
        <w:t xml:space="preserve">- недостаточно эффективная деятельность рыболовных хозяйств по использованию и сохранению видового разнообразия рыб и других водных биоресурсов, расширению услуг, оказываемых при организации любительского рыболовства, а также несоблюдение ими рыбохозяйственных требований и установление необоснованных ограничений рыболовства;</w:t>
      </w:r>
    </w:p>
    <w:p>
      <w:pPr>
        <w:pStyle w:val="0"/>
        <w:spacing w:before="200" w:line-rule="auto"/>
        <w:ind w:firstLine="540"/>
        <w:jc w:val="both"/>
      </w:pPr>
      <w:r>
        <w:rPr>
          <w:sz w:val="20"/>
        </w:rPr>
        <w:t xml:space="preserve">- недостаточно эффективная финансовая государственная поддержка охраны и воспроизводства ценных, редких и исчезающих видов рыб и других водных биоресурсов;</w:t>
      </w:r>
    </w:p>
    <w:p>
      <w:pPr>
        <w:pStyle w:val="0"/>
        <w:spacing w:before="200" w:line-rule="auto"/>
        <w:ind w:firstLine="540"/>
        <w:jc w:val="both"/>
      </w:pPr>
      <w:r>
        <w:rPr>
          <w:sz w:val="20"/>
        </w:rPr>
        <w:t xml:space="preserve">- недостаток ресурсных и экосистемных научных исследований водных объектов области;</w:t>
      </w:r>
    </w:p>
    <w:p>
      <w:pPr>
        <w:pStyle w:val="0"/>
        <w:spacing w:before="200" w:line-rule="auto"/>
        <w:ind w:firstLine="540"/>
        <w:jc w:val="both"/>
      </w:pPr>
      <w:r>
        <w:rPr>
          <w:sz w:val="20"/>
        </w:rPr>
        <w:t xml:space="preserve">- нерегулируемая антропогенная нагрузка на водные биоресурсы;</w:t>
      </w:r>
    </w:p>
    <w:p>
      <w:pPr>
        <w:pStyle w:val="0"/>
        <w:spacing w:before="200" w:line-rule="auto"/>
        <w:ind w:firstLine="540"/>
        <w:jc w:val="both"/>
      </w:pPr>
      <w:r>
        <w:rPr>
          <w:sz w:val="20"/>
        </w:rPr>
        <w:t xml:space="preserve">- незаконный вылов водных биоресурсов;</w:t>
      </w:r>
    </w:p>
    <w:p>
      <w:pPr>
        <w:pStyle w:val="0"/>
        <w:spacing w:before="200" w:line-rule="auto"/>
        <w:ind w:firstLine="540"/>
        <w:jc w:val="both"/>
      </w:pPr>
      <w:r>
        <w:rPr>
          <w:sz w:val="20"/>
        </w:rPr>
        <w:t xml:space="preserve">- сокращение естественных популяций рыб и других видов водных биоресурсов;</w:t>
      </w:r>
    </w:p>
    <w:p>
      <w:pPr>
        <w:pStyle w:val="0"/>
        <w:spacing w:before="200" w:line-rule="auto"/>
        <w:ind w:firstLine="540"/>
        <w:jc w:val="both"/>
      </w:pPr>
      <w:r>
        <w:rPr>
          <w:sz w:val="20"/>
        </w:rPr>
        <w:t xml:space="preserve">- недостаточная информационно-аналитическая поддержка рыболовства;</w:t>
      </w:r>
    </w:p>
    <w:p>
      <w:pPr>
        <w:pStyle w:val="0"/>
        <w:spacing w:before="200" w:line-rule="auto"/>
        <w:ind w:firstLine="540"/>
        <w:jc w:val="both"/>
      </w:pPr>
      <w:r>
        <w:rPr>
          <w:sz w:val="20"/>
        </w:rPr>
        <w:t xml:space="preserve">- низкий уровень экологической культуры рыболовов и хозяйствующих субъектов.</w:t>
      </w:r>
    </w:p>
    <w:p>
      <w:pPr>
        <w:pStyle w:val="0"/>
        <w:spacing w:before="200" w:line-rule="auto"/>
        <w:ind w:firstLine="540"/>
        <w:jc w:val="both"/>
      </w:pPr>
      <w:r>
        <w:rPr>
          <w:sz w:val="20"/>
        </w:rPr>
        <w:t xml:space="preserve">Следствием этих проблем являются:</w:t>
      </w:r>
    </w:p>
    <w:p>
      <w:pPr>
        <w:pStyle w:val="0"/>
        <w:spacing w:before="200" w:line-rule="auto"/>
        <w:ind w:firstLine="540"/>
        <w:jc w:val="both"/>
      </w:pPr>
      <w:r>
        <w:rPr>
          <w:sz w:val="20"/>
        </w:rPr>
        <w:t xml:space="preserve">- неудовлетворенность граждан уловами при осуществлении рыболовства на водных объектах рыбохозяйственного значения области;</w:t>
      </w:r>
    </w:p>
    <w:p>
      <w:pPr>
        <w:pStyle w:val="0"/>
        <w:spacing w:before="200" w:line-rule="auto"/>
        <w:ind w:firstLine="540"/>
        <w:jc w:val="both"/>
      </w:pPr>
      <w:r>
        <w:rPr>
          <w:sz w:val="20"/>
        </w:rPr>
        <w:t xml:space="preserve">- низкий объем инвестиций в дальнейшее развитие рыболовства на водных объектах рыбохозяйственного значения области;</w:t>
      </w:r>
    </w:p>
    <w:p>
      <w:pPr>
        <w:pStyle w:val="0"/>
        <w:spacing w:before="200" w:line-rule="auto"/>
        <w:ind w:firstLine="540"/>
        <w:jc w:val="both"/>
      </w:pPr>
      <w:r>
        <w:rPr>
          <w:sz w:val="20"/>
        </w:rPr>
        <w:t xml:space="preserve">- снижение сырьевой базы для всех видов рыболовства на территории области.</w:t>
      </w:r>
    </w:p>
    <w:p>
      <w:pPr>
        <w:pStyle w:val="0"/>
        <w:spacing w:before="200" w:line-rule="auto"/>
        <w:ind w:firstLine="540"/>
        <w:jc w:val="both"/>
      </w:pPr>
      <w:r>
        <w:rPr>
          <w:sz w:val="20"/>
        </w:rPr>
        <w:t xml:space="preserve">Одним из основных критериев эффективности государственного управления в сфере развития водного и лесного хозяйства области, охраны окружающей среды является качество управления государственными финансами в этой сфере. Особого внимания в данной сфере с учетом перехода к программному принципу формирования бюджета заслуживают вопросы повышения качества бюджетного планирования.</w:t>
      </w:r>
    </w:p>
    <w:p>
      <w:pPr>
        <w:pStyle w:val="0"/>
        <w:jc w:val="both"/>
      </w:pPr>
      <w:r>
        <w:rPr>
          <w:sz w:val="20"/>
        </w:rPr>
      </w:r>
    </w:p>
    <w:p>
      <w:pPr>
        <w:pStyle w:val="2"/>
        <w:outlineLvl w:val="2"/>
        <w:jc w:val="center"/>
      </w:pPr>
      <w:r>
        <w:rPr>
          <w:sz w:val="20"/>
        </w:rPr>
        <w:t xml:space="preserve">Стратегический (SWOT) анализ развития</w:t>
      </w:r>
    </w:p>
    <w:p>
      <w:pPr>
        <w:pStyle w:val="2"/>
        <w:jc w:val="center"/>
      </w:pPr>
      <w:r>
        <w:rPr>
          <w:sz w:val="20"/>
        </w:rPr>
        <w:t xml:space="preserve">сфер государственной программы</w:t>
      </w:r>
    </w:p>
    <w:p>
      <w:pPr>
        <w:pStyle w:val="0"/>
        <w:jc w:val="both"/>
      </w:pPr>
      <w:r>
        <w:rPr>
          <w:sz w:val="20"/>
        </w:rPr>
      </w:r>
    </w:p>
    <w:p>
      <w:pPr>
        <w:pStyle w:val="0"/>
        <w:jc w:val="right"/>
      </w:pPr>
      <w:r>
        <w:rPr>
          <w:sz w:val="20"/>
        </w:rPr>
        <w:t xml:space="preserve">Таблица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4535"/>
      </w:tblGrid>
      <w:tr>
        <w:tc>
          <w:tcPr>
            <w:tcW w:w="4535" w:type="dxa"/>
          </w:tcPr>
          <w:p>
            <w:pPr>
              <w:pStyle w:val="0"/>
              <w:jc w:val="center"/>
            </w:pPr>
            <w:r>
              <w:rPr>
                <w:sz w:val="20"/>
              </w:rPr>
              <w:t xml:space="preserve">Сильные стороны</w:t>
            </w:r>
          </w:p>
        </w:tc>
        <w:tc>
          <w:tcPr>
            <w:tcW w:w="4535" w:type="dxa"/>
          </w:tcPr>
          <w:p>
            <w:pPr>
              <w:pStyle w:val="0"/>
              <w:jc w:val="center"/>
            </w:pPr>
            <w:r>
              <w:rPr>
                <w:sz w:val="20"/>
              </w:rPr>
              <w:t xml:space="preserve">Слабые стороны</w:t>
            </w:r>
          </w:p>
        </w:tc>
      </w:tr>
      <w:tr>
        <w:tc>
          <w:tcPr>
            <w:tcW w:w="4535" w:type="dxa"/>
          </w:tcPr>
          <w:p>
            <w:pPr>
              <w:pStyle w:val="0"/>
              <w:jc w:val="both"/>
            </w:pPr>
            <w:r>
              <w:rPr>
                <w:sz w:val="20"/>
              </w:rPr>
              <w:t xml:space="preserve">- водосборы 90 процентов рек, протекающих в области, расположены в границах области</w:t>
            </w:r>
          </w:p>
        </w:tc>
        <w:tc>
          <w:tcPr>
            <w:tcW w:w="4535" w:type="dxa"/>
          </w:tcPr>
          <w:p>
            <w:pPr>
              <w:pStyle w:val="0"/>
              <w:jc w:val="both"/>
            </w:pPr>
            <w:r>
              <w:rPr>
                <w:sz w:val="20"/>
              </w:rPr>
              <w:t xml:space="preserve">- область относится к малообеспеченным водным регионам</w:t>
            </w:r>
          </w:p>
        </w:tc>
      </w:tr>
      <w:tr>
        <w:tc>
          <w:tcPr>
            <w:tcW w:w="4535" w:type="dxa"/>
          </w:tcPr>
          <w:p>
            <w:pPr>
              <w:pStyle w:val="0"/>
              <w:jc w:val="center"/>
            </w:pPr>
            <w:r>
              <w:rPr>
                <w:sz w:val="20"/>
              </w:rPr>
              <w:t xml:space="preserve">Возможности</w:t>
            </w:r>
          </w:p>
        </w:tc>
        <w:tc>
          <w:tcPr>
            <w:tcW w:w="4535" w:type="dxa"/>
          </w:tcPr>
          <w:p>
            <w:pPr>
              <w:pStyle w:val="0"/>
              <w:jc w:val="center"/>
            </w:pPr>
            <w:r>
              <w:rPr>
                <w:sz w:val="20"/>
              </w:rPr>
              <w:t xml:space="preserve">Угрозы</w:t>
            </w:r>
          </w:p>
        </w:tc>
      </w:tr>
      <w:tr>
        <w:tc>
          <w:tcPr>
            <w:tcW w:w="4535" w:type="dxa"/>
          </w:tcPr>
          <w:p>
            <w:pPr>
              <w:pStyle w:val="0"/>
              <w:jc w:val="both"/>
            </w:pPr>
            <w:r>
              <w:rPr>
                <w:sz w:val="20"/>
              </w:rPr>
              <w:t xml:space="preserve">- улучшение состояния окружающей среды в овражно-балочной сети и водоохранных зонах рек</w:t>
            </w:r>
          </w:p>
        </w:tc>
        <w:tc>
          <w:tcPr>
            <w:tcW w:w="4535" w:type="dxa"/>
          </w:tcPr>
          <w:p>
            <w:pPr>
              <w:pStyle w:val="0"/>
              <w:jc w:val="both"/>
            </w:pPr>
            <w:r>
              <w:rPr>
                <w:sz w:val="20"/>
              </w:rPr>
              <w:t xml:space="preserve">- недостаточное финансирование мероприятий за счет средств внебюджетных источников</w:t>
            </w:r>
          </w:p>
        </w:tc>
      </w:tr>
    </w:tbl>
    <w:p>
      <w:pPr>
        <w:pStyle w:val="0"/>
        <w:jc w:val="both"/>
      </w:pPr>
      <w:r>
        <w:rPr>
          <w:sz w:val="20"/>
        </w:rPr>
      </w:r>
    </w:p>
    <w:p>
      <w:pPr>
        <w:pStyle w:val="2"/>
        <w:outlineLvl w:val="1"/>
        <w:jc w:val="center"/>
      </w:pPr>
      <w:r>
        <w:rPr>
          <w:sz w:val="20"/>
        </w:rPr>
        <w:t xml:space="preserve">II. Приоритеты государственной политики в сфере реализации</w:t>
      </w:r>
    </w:p>
    <w:p>
      <w:pPr>
        <w:pStyle w:val="2"/>
        <w:jc w:val="center"/>
      </w:pPr>
      <w:r>
        <w:rPr>
          <w:sz w:val="20"/>
        </w:rPr>
        <w:t xml:space="preserve">государственной программы, цели, задачи и показатели</w:t>
      </w:r>
    </w:p>
    <w:p>
      <w:pPr>
        <w:pStyle w:val="2"/>
        <w:jc w:val="center"/>
      </w:pPr>
      <w:r>
        <w:rPr>
          <w:sz w:val="20"/>
        </w:rPr>
        <w:t xml:space="preserve">достижения целей и решения задач, описание основных конечных</w:t>
      </w:r>
    </w:p>
    <w:p>
      <w:pPr>
        <w:pStyle w:val="2"/>
        <w:jc w:val="center"/>
      </w:pPr>
      <w:r>
        <w:rPr>
          <w:sz w:val="20"/>
        </w:rPr>
        <w:t xml:space="preserve">результатов государственной программы, сроков и этапов</w:t>
      </w:r>
    </w:p>
    <w:p>
      <w:pPr>
        <w:pStyle w:val="2"/>
        <w:jc w:val="center"/>
      </w:pPr>
      <w:r>
        <w:rPr>
          <w:sz w:val="20"/>
        </w:rPr>
        <w:t xml:space="preserve">реализации государственной программы</w:t>
      </w:r>
    </w:p>
    <w:p>
      <w:pPr>
        <w:pStyle w:val="0"/>
        <w:jc w:val="both"/>
      </w:pPr>
      <w:r>
        <w:rPr>
          <w:sz w:val="20"/>
        </w:rPr>
      </w:r>
    </w:p>
    <w:p>
      <w:pPr>
        <w:pStyle w:val="0"/>
        <w:ind w:firstLine="540"/>
        <w:jc w:val="both"/>
      </w:pPr>
      <w:r>
        <w:rPr>
          <w:sz w:val="20"/>
        </w:rPr>
        <w:t xml:space="preserve">В соответствии с Основами государственной политики в области экологического развития Российской Федерации на период до 2030 года стратегической целью государственной политики является решение социально-экономических задач, обеспечивающих экологически ориентированный рост экономики, сохранение благоприятной окружающей среды, биологического разнообразия и природных ресурсов для удовлетворения потребностей нынешнего и будущих поколений, реализации права каждого человека на благоприятную окружающую среду, укрепление правопорядка в области охраны окружающей среды и обеспечение экологической безопасности.</w:t>
      </w:r>
    </w:p>
    <w:p>
      <w:pPr>
        <w:pStyle w:val="0"/>
        <w:spacing w:before="200" w:line-rule="auto"/>
        <w:ind w:firstLine="540"/>
        <w:jc w:val="both"/>
      </w:pPr>
      <w:r>
        <w:rPr>
          <w:sz w:val="20"/>
        </w:rPr>
        <w:t xml:space="preserve">Приоритеты государственной политики в сфере экономического развития на долгосрочную перспективу отражены в Стратегии области. В соответствии с указанным документом стратегическими задачами и приоритетами являются:</w:t>
      </w:r>
    </w:p>
    <w:p>
      <w:pPr>
        <w:pStyle w:val="0"/>
        <w:spacing w:before="200" w:line-rule="auto"/>
        <w:ind w:firstLine="540"/>
        <w:jc w:val="both"/>
      </w:pPr>
      <w:r>
        <w:rPr>
          <w:sz w:val="20"/>
        </w:rPr>
        <w:t xml:space="preserve">- устойчивое развитие экономики и общества при условии признания невозможности развития человеческого общества при деградации природы;</w:t>
      </w:r>
    </w:p>
    <w:p>
      <w:pPr>
        <w:pStyle w:val="0"/>
        <w:spacing w:before="200" w:line-rule="auto"/>
        <w:ind w:firstLine="540"/>
        <w:jc w:val="both"/>
      </w:pPr>
      <w:r>
        <w:rPr>
          <w:sz w:val="20"/>
        </w:rPr>
        <w:t xml:space="preserve">- предотвращение негативных экологических последствий в результате хозяйственной деятельности;</w:t>
      </w:r>
    </w:p>
    <w:p>
      <w:pPr>
        <w:pStyle w:val="0"/>
        <w:spacing w:before="200" w:line-rule="auto"/>
        <w:ind w:firstLine="540"/>
        <w:jc w:val="both"/>
      </w:pPr>
      <w:r>
        <w:rPr>
          <w:sz w:val="20"/>
        </w:rPr>
        <w:t xml:space="preserve">- приоритет жизнеобеспечивающих функций биосферы по отношению к прямому использованию ее ресурсов;</w:t>
      </w:r>
    </w:p>
    <w:p>
      <w:pPr>
        <w:pStyle w:val="0"/>
        <w:spacing w:before="200" w:line-rule="auto"/>
        <w:ind w:firstLine="540"/>
        <w:jc w:val="both"/>
      </w:pPr>
      <w:r>
        <w:rPr>
          <w:sz w:val="20"/>
        </w:rPr>
        <w:t xml:space="preserve">- обязательное сохранение и восстановление существующих природных систем;</w:t>
      </w:r>
    </w:p>
    <w:p>
      <w:pPr>
        <w:pStyle w:val="0"/>
        <w:spacing w:before="200" w:line-rule="auto"/>
        <w:ind w:firstLine="540"/>
        <w:jc w:val="both"/>
      </w:pPr>
      <w:r>
        <w:rPr>
          <w:sz w:val="20"/>
        </w:rPr>
        <w:t xml:space="preserve">- принятие управленческих решений на региональном и местном уровнях в сфере природопользования и охраны окружающей среды на основании разработанных инновационных проектов бассейнового природопользования;</w:t>
      </w:r>
    </w:p>
    <w:p>
      <w:pPr>
        <w:pStyle w:val="0"/>
        <w:spacing w:before="200" w:line-rule="auto"/>
        <w:ind w:firstLine="540"/>
        <w:jc w:val="both"/>
      </w:pPr>
      <w:r>
        <w:rPr>
          <w:sz w:val="20"/>
        </w:rPr>
        <w:t xml:space="preserve">- открытость экологической информации;</w:t>
      </w:r>
    </w:p>
    <w:p>
      <w:pPr>
        <w:pStyle w:val="0"/>
        <w:spacing w:before="200" w:line-rule="auto"/>
        <w:ind w:firstLine="540"/>
        <w:jc w:val="both"/>
      </w:pPr>
      <w:r>
        <w:rPr>
          <w:sz w:val="20"/>
        </w:rPr>
        <w:t xml:space="preserve">- участие гражданского общества и деловых кругов в принятии и реализации решений в области охраны окружающей среды и рационального природопользования.</w:t>
      </w:r>
    </w:p>
    <w:p>
      <w:pPr>
        <w:pStyle w:val="0"/>
        <w:spacing w:before="200" w:line-rule="auto"/>
        <w:ind w:firstLine="540"/>
        <w:jc w:val="both"/>
      </w:pPr>
      <w:r>
        <w:rPr>
          <w:sz w:val="20"/>
        </w:rPr>
        <w:t xml:space="preserve">Таким образом, исходя из обозначенных стратегических задач и приоритетов государственной политики Правительства области целью государственной программы является сохранение, восстановление и рациональное использование природных ресурсов и охрана окружающей среды области.</w:t>
      </w:r>
    </w:p>
    <w:p>
      <w:pPr>
        <w:pStyle w:val="0"/>
        <w:spacing w:before="200" w:line-rule="auto"/>
        <w:ind w:firstLine="540"/>
        <w:jc w:val="both"/>
      </w:pPr>
      <w:r>
        <w:rPr>
          <w:sz w:val="20"/>
        </w:rPr>
        <w:t xml:space="preserve">Для достижения указанной цели должно быть обеспечено решение следующих задач:</w:t>
      </w:r>
    </w:p>
    <w:p>
      <w:pPr>
        <w:pStyle w:val="0"/>
        <w:spacing w:before="200" w:line-rule="auto"/>
        <w:ind w:firstLine="540"/>
        <w:jc w:val="both"/>
      </w:pPr>
      <w:r>
        <w:rPr>
          <w:sz w:val="20"/>
        </w:rPr>
        <w:t xml:space="preserve">1. Повышение эффективности использования, охраны, защиты и воспроизводства лесов.</w:t>
      </w:r>
    </w:p>
    <w:p>
      <w:pPr>
        <w:pStyle w:val="0"/>
        <w:spacing w:before="200" w:line-rule="auto"/>
        <w:ind w:firstLine="540"/>
        <w:jc w:val="both"/>
      </w:pPr>
      <w:r>
        <w:rPr>
          <w:sz w:val="20"/>
        </w:rPr>
        <w:t xml:space="preserve">2. Создание условий для эффективного развития водохозяйственного комплекса.</w:t>
      </w:r>
    </w:p>
    <w:p>
      <w:pPr>
        <w:pStyle w:val="0"/>
        <w:spacing w:before="200" w:line-rule="auto"/>
        <w:ind w:firstLine="540"/>
        <w:jc w:val="both"/>
      </w:pPr>
      <w:r>
        <w:rPr>
          <w:sz w:val="20"/>
        </w:rPr>
        <w:t xml:space="preserve">3. 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p>
      <w:pPr>
        <w:pStyle w:val="0"/>
        <w:spacing w:before="200" w:line-rule="auto"/>
        <w:ind w:firstLine="540"/>
        <w:jc w:val="both"/>
      </w:pPr>
      <w:r>
        <w:rPr>
          <w:sz w:val="20"/>
        </w:rPr>
        <w:t xml:space="preserve">4. 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p>
      <w:pPr>
        <w:pStyle w:val="0"/>
        <w:spacing w:before="200" w:line-rule="auto"/>
        <w:ind w:firstLine="540"/>
        <w:jc w:val="both"/>
      </w:pPr>
      <w:r>
        <w:rPr>
          <w:sz w:val="20"/>
        </w:rPr>
        <w:t xml:space="preserve">5. Развитие рыболовства на основе сохранения, воспроизводства и рационального использования водных биологических ресурсов области.</w:t>
      </w:r>
    </w:p>
    <w:p>
      <w:pPr>
        <w:pStyle w:val="0"/>
        <w:spacing w:before="200" w:line-rule="auto"/>
        <w:ind w:firstLine="540"/>
        <w:jc w:val="both"/>
      </w:pPr>
      <w:r>
        <w:rPr>
          <w:sz w:val="20"/>
        </w:rPr>
        <w:t xml:space="preserve">6. 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p>
      <w:pPr>
        <w:pStyle w:val="0"/>
        <w:spacing w:before="200" w:line-rule="auto"/>
        <w:ind w:firstLine="540"/>
        <w:jc w:val="both"/>
      </w:pPr>
      <w:r>
        <w:rPr>
          <w:sz w:val="20"/>
        </w:rPr>
        <w:t xml:space="preserve">7. Повышение экологической безопасности населения на территории Белгородской области путем модернизации существующей системы обращения с твердыми коммунальными отходами.</w:t>
      </w:r>
    </w:p>
    <w:p>
      <w:pPr>
        <w:pStyle w:val="0"/>
        <w:jc w:val="both"/>
      </w:pPr>
      <w:r>
        <w:rPr>
          <w:sz w:val="20"/>
        </w:rPr>
        <w:t xml:space="preserve">(п. 7 в ред. </w:t>
      </w:r>
      <w:hyperlink w:history="0" r:id="rId60"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p>
      <w:pPr>
        <w:pStyle w:val="0"/>
        <w:spacing w:before="200" w:line-rule="auto"/>
        <w:ind w:firstLine="540"/>
        <w:jc w:val="both"/>
      </w:pPr>
      <w:r>
        <w:rPr>
          <w:sz w:val="20"/>
        </w:rPr>
        <w:t xml:space="preserve">Достижение поставленных целей характеризуется следующими показателями:</w:t>
      </w:r>
    </w:p>
    <w:p>
      <w:pPr>
        <w:pStyle w:val="0"/>
        <w:spacing w:before="200" w:line-rule="auto"/>
        <w:ind w:firstLine="540"/>
        <w:jc w:val="both"/>
      </w:pPr>
      <w:r>
        <w:rPr>
          <w:sz w:val="20"/>
        </w:rPr>
        <w:t xml:space="preserve">1.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pPr>
        <w:pStyle w:val="0"/>
        <w:spacing w:before="200" w:line-rule="auto"/>
        <w:ind w:firstLine="540"/>
        <w:jc w:val="both"/>
      </w:pPr>
      <w:r>
        <w:rPr>
          <w:sz w:val="20"/>
        </w:rPr>
        <w:t xml:space="preserve">2. Снижение удельного объема выбросов загрязняющих веществ в атмосферный воздух от стационарных источников до 0,087 тонн/млн руб. валового регионального продукта к 2025 году.</w:t>
      </w:r>
    </w:p>
    <w:p>
      <w:pPr>
        <w:pStyle w:val="0"/>
        <w:spacing w:before="200" w:line-rule="auto"/>
        <w:ind w:firstLine="540"/>
        <w:jc w:val="both"/>
      </w:pPr>
      <w:r>
        <w:rPr>
          <w:sz w:val="20"/>
        </w:rPr>
        <w:t xml:space="preserve">3. Снижение удельного сброса загрязненных сточных вод до 0,05 куб. м/млн руб. валового регионального продукта к 2025 году.</w:t>
      </w:r>
    </w:p>
    <w:p>
      <w:pPr>
        <w:pStyle w:val="0"/>
        <w:spacing w:before="200" w:line-rule="auto"/>
        <w:ind w:firstLine="540"/>
        <w:jc w:val="both"/>
      </w:pPr>
      <w:r>
        <w:rPr>
          <w:sz w:val="20"/>
        </w:rPr>
        <w:t xml:space="preserve">4. Снижение удельного объема образующихся отходов производства и потребления до 121,6 тонн/млн руб. валового регионального продукта к 2018 году.</w:t>
      </w:r>
    </w:p>
    <w:p>
      <w:pPr>
        <w:pStyle w:val="0"/>
        <w:spacing w:before="200" w:line-rule="auto"/>
        <w:ind w:firstLine="540"/>
        <w:jc w:val="both"/>
      </w:pPr>
      <w:r>
        <w:rPr>
          <w:sz w:val="20"/>
        </w:rPr>
        <w:t xml:space="preserve">5. Индекс прироста численности косули до 19,3 процента к 2025 году.</w:t>
      </w:r>
    </w:p>
    <w:p>
      <w:pPr>
        <w:pStyle w:val="0"/>
        <w:spacing w:before="200" w:line-rule="auto"/>
        <w:ind w:firstLine="540"/>
        <w:jc w:val="both"/>
      </w:pPr>
      <w:r>
        <w:rPr>
          <w:sz w:val="20"/>
        </w:rPr>
        <w:t xml:space="preserve">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до 100 процентов к 2025 году.</w:t>
      </w:r>
    </w:p>
    <w:p>
      <w:pPr>
        <w:pStyle w:val="0"/>
        <w:spacing w:before="200" w:line-rule="auto"/>
        <w:ind w:firstLine="540"/>
        <w:jc w:val="both"/>
      </w:pPr>
      <w:r>
        <w:rPr>
          <w:sz w:val="20"/>
        </w:rPr>
        <w:t xml:space="preserve">Реализация государственной программы осуществляется в два этапа: 1 - 2014 - 2020 годы; 2 - 2021 - 2025 годы.</w:t>
      </w:r>
    </w:p>
    <w:p>
      <w:pPr>
        <w:pStyle w:val="0"/>
        <w:spacing w:before="200" w:line-rule="auto"/>
        <w:ind w:firstLine="540"/>
        <w:jc w:val="both"/>
      </w:pPr>
      <w:r>
        <w:rPr>
          <w:sz w:val="20"/>
        </w:rPr>
        <w:t xml:space="preserve">Следует отметить, что на достижение всех указанных показателей существенное влияние окажут государственные программы Белгородской области, реализуемые в сферах агропромышленного комплекса, строительства, транспорта, жилищно-коммунального хозяйства и других.</w:t>
      </w:r>
    </w:p>
    <w:p>
      <w:pPr>
        <w:pStyle w:val="0"/>
        <w:spacing w:before="200" w:line-rule="auto"/>
        <w:ind w:firstLine="540"/>
        <w:jc w:val="both"/>
      </w:pPr>
      <w:r>
        <w:rPr>
          <w:sz w:val="20"/>
        </w:rPr>
        <w:t xml:space="preserve">Показатели конечного результата реализации государственной программы по годам реализации, показатели конечного и непосредственного результатов подпрограмм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1"/>
        <w:jc w:val="center"/>
      </w:pPr>
      <w:r>
        <w:rPr>
          <w:sz w:val="20"/>
        </w:rPr>
        <w:t xml:space="preserve">III. Перечень нормативных правовых актов области, принятие</w:t>
      </w:r>
    </w:p>
    <w:p>
      <w:pPr>
        <w:pStyle w:val="2"/>
        <w:jc w:val="center"/>
      </w:pPr>
      <w:r>
        <w:rPr>
          <w:sz w:val="20"/>
        </w:rPr>
        <w:t xml:space="preserve">или изменение которых необходимо для реализации</w:t>
      </w:r>
    </w:p>
    <w:p>
      <w:pPr>
        <w:pStyle w:val="2"/>
        <w:jc w:val="center"/>
      </w:pPr>
      <w:r>
        <w:rPr>
          <w:sz w:val="20"/>
        </w:rPr>
        <w:t xml:space="preserve">государственной программы (включая план принятия)</w:t>
      </w:r>
    </w:p>
    <w:p>
      <w:pPr>
        <w:pStyle w:val="0"/>
        <w:jc w:val="both"/>
      </w:pPr>
      <w:r>
        <w:rPr>
          <w:sz w:val="20"/>
        </w:rPr>
      </w:r>
    </w:p>
    <w:p>
      <w:pPr>
        <w:pStyle w:val="0"/>
        <w:ind w:firstLine="540"/>
        <w:jc w:val="both"/>
      </w:pPr>
      <w:r>
        <w:rPr>
          <w:sz w:val="20"/>
        </w:rPr>
        <w:t xml:space="preserve">В рамках реализации государственной программы предусматривается разработка нормативных правовых актов, направленных на повышение эффективности использования и охраны природных ресурсов, в том числе постановлений и распоряжений Правительства области:</w:t>
      </w:r>
    </w:p>
    <w:p>
      <w:pPr>
        <w:pStyle w:val="0"/>
        <w:spacing w:before="200" w:line-rule="auto"/>
        <w:ind w:firstLine="540"/>
        <w:jc w:val="both"/>
      </w:pPr>
      <w:r>
        <w:rPr>
          <w:sz w:val="20"/>
        </w:rPr>
        <w:t xml:space="preserve">- о внесении изменений в </w:t>
      </w:r>
      <w:hyperlink w:history="0" r:id="rId61" w:tooltip="Постановление губернатора Белгородской обл. от 04.05.2010 N 33 (ред. от 12.12.2022) &quot;О зонах охраны охотничьих ресурсов&quot; {КонсультантПлюс}">
        <w:r>
          <w:rPr>
            <w:sz w:val="20"/>
            <w:color w:val="0000ff"/>
          </w:rPr>
          <w:t xml:space="preserve">постановление</w:t>
        </w:r>
      </w:hyperlink>
      <w:r>
        <w:rPr>
          <w:sz w:val="20"/>
        </w:rPr>
        <w:t xml:space="preserve"> Губернатора области от 4 мая 2010 года N 33 "О зонах охраны охотничьих ресурсов";</w:t>
      </w:r>
    </w:p>
    <w:p>
      <w:pPr>
        <w:pStyle w:val="0"/>
        <w:spacing w:before="200" w:line-rule="auto"/>
        <w:ind w:firstLine="540"/>
        <w:jc w:val="both"/>
      </w:pPr>
      <w:r>
        <w:rPr>
          <w:sz w:val="20"/>
        </w:rPr>
        <w:t xml:space="preserve">- об утверждении Правил использования объектов животного мира, не отнесенных к охотничьим ресурсам, на территории области;</w:t>
      </w:r>
    </w:p>
    <w:p>
      <w:pPr>
        <w:pStyle w:val="0"/>
        <w:spacing w:before="200" w:line-rule="auto"/>
        <w:ind w:firstLine="540"/>
        <w:jc w:val="both"/>
      </w:pPr>
      <w:r>
        <w:rPr>
          <w:sz w:val="20"/>
        </w:rPr>
        <w:t xml:space="preserve">- об утверждении схемы размещения, использования и охраны охотничьих угодий на территории области;</w:t>
      </w:r>
    </w:p>
    <w:p>
      <w:pPr>
        <w:pStyle w:val="0"/>
        <w:spacing w:before="200" w:line-rule="auto"/>
        <w:ind w:firstLine="540"/>
        <w:jc w:val="both"/>
      </w:pPr>
      <w:r>
        <w:rPr>
          <w:sz w:val="20"/>
        </w:rPr>
        <w:t xml:space="preserve">- об утверждении объемов и квот добычи охотничьих ресурсов;</w:t>
      </w:r>
    </w:p>
    <w:p>
      <w:pPr>
        <w:pStyle w:val="0"/>
        <w:spacing w:before="200" w:line-rule="auto"/>
        <w:ind w:firstLine="540"/>
        <w:jc w:val="both"/>
      </w:pPr>
      <w:r>
        <w:rPr>
          <w:sz w:val="20"/>
        </w:rPr>
        <w:t xml:space="preserve">- о введении ограничений в сезоне охоты;</w:t>
      </w:r>
    </w:p>
    <w:p>
      <w:pPr>
        <w:pStyle w:val="0"/>
        <w:spacing w:before="200" w:line-rule="auto"/>
        <w:ind w:firstLine="540"/>
        <w:jc w:val="both"/>
      </w:pPr>
      <w:r>
        <w:rPr>
          <w:sz w:val="20"/>
        </w:rPr>
        <w:t xml:space="preserve">- об утверждении сводного плана тушения лесных пожаров на территории области;</w:t>
      </w:r>
    </w:p>
    <w:p>
      <w:pPr>
        <w:pStyle w:val="0"/>
        <w:spacing w:before="200" w:line-rule="auto"/>
        <w:ind w:firstLine="540"/>
        <w:jc w:val="both"/>
      </w:pPr>
      <w:r>
        <w:rPr>
          <w:sz w:val="20"/>
        </w:rPr>
        <w:t xml:space="preserve">- об усилении охраны лесов от пожаров.</w:t>
      </w:r>
    </w:p>
    <w:p>
      <w:pPr>
        <w:pStyle w:val="0"/>
        <w:spacing w:before="200" w:line-rule="auto"/>
        <w:ind w:firstLine="540"/>
        <w:jc w:val="both"/>
      </w:pPr>
      <w:r>
        <w:rPr>
          <w:sz w:val="20"/>
        </w:rPr>
        <w:t xml:space="preserve">Информация об основных мерах правового регулирования в сфере реализации государственной программы представлена в </w:t>
      </w:r>
      <w:hyperlink w:history="0" w:anchor="P4123" w:tooltip="Основные меры правового регулирования в сфере реализации">
        <w:r>
          <w:rPr>
            <w:sz w:val="20"/>
            <w:color w:val="0000ff"/>
          </w:rPr>
          <w:t xml:space="preserve">приложении N 2</w:t>
        </w:r>
      </w:hyperlink>
      <w:r>
        <w:rPr>
          <w:sz w:val="20"/>
        </w:rPr>
        <w:t xml:space="preserve">.</w:t>
      </w:r>
    </w:p>
    <w:p>
      <w:pPr>
        <w:pStyle w:val="0"/>
        <w:jc w:val="both"/>
      </w:pPr>
      <w:r>
        <w:rPr>
          <w:sz w:val="20"/>
        </w:rPr>
      </w:r>
    </w:p>
    <w:p>
      <w:pPr>
        <w:pStyle w:val="2"/>
        <w:outlineLvl w:val="1"/>
        <w:jc w:val="center"/>
      </w:pPr>
      <w:r>
        <w:rPr>
          <w:sz w:val="20"/>
        </w:rPr>
        <w:t xml:space="preserve">IV. Обоснование выделения подпрограмм</w:t>
      </w:r>
    </w:p>
    <w:p>
      <w:pPr>
        <w:pStyle w:val="0"/>
        <w:jc w:val="both"/>
      </w:pPr>
      <w:r>
        <w:rPr>
          <w:sz w:val="20"/>
        </w:rPr>
      </w:r>
    </w:p>
    <w:p>
      <w:pPr>
        <w:pStyle w:val="0"/>
        <w:ind w:firstLine="540"/>
        <w:jc w:val="both"/>
      </w:pPr>
      <w:r>
        <w:rPr>
          <w:sz w:val="20"/>
        </w:rPr>
        <w:t xml:space="preserve">С учетом видов природных ресурсов, отнесенных к сфере реализации настоящей государственной программы, в ее составе выделяются следующие подпрограммы:</w:t>
      </w:r>
    </w:p>
    <w:p>
      <w:pPr>
        <w:pStyle w:val="0"/>
        <w:spacing w:before="200" w:line-rule="auto"/>
        <w:ind w:firstLine="540"/>
        <w:jc w:val="both"/>
      </w:pPr>
      <w:r>
        <w:rPr>
          <w:sz w:val="20"/>
        </w:rPr>
        <w:t xml:space="preserve">1. </w:t>
      </w:r>
      <w:hyperlink w:history="0" w:anchor="P554" w:tooltip="Паспорт">
        <w:r>
          <w:rPr>
            <w:sz w:val="20"/>
            <w:color w:val="0000ff"/>
          </w:rPr>
          <w:t xml:space="preserve">Развитие лесного хозяйства</w:t>
        </w:r>
      </w:hyperlink>
      <w:r>
        <w:rPr>
          <w:sz w:val="20"/>
        </w:rPr>
        <w:t xml:space="preserve">.</w:t>
      </w:r>
    </w:p>
    <w:p>
      <w:pPr>
        <w:pStyle w:val="0"/>
        <w:spacing w:before="200" w:line-rule="auto"/>
        <w:ind w:firstLine="540"/>
        <w:jc w:val="both"/>
      </w:pPr>
      <w:r>
        <w:rPr>
          <w:sz w:val="20"/>
        </w:rPr>
        <w:t xml:space="preserve">2. </w:t>
      </w:r>
      <w:hyperlink w:history="0" w:anchor="P904" w:tooltip="Паспорт">
        <w:r>
          <w:rPr>
            <w:sz w:val="20"/>
            <w:color w:val="0000ff"/>
          </w:rPr>
          <w:t xml:space="preserve">Развитие водохозяйственного комплекса</w:t>
        </w:r>
      </w:hyperlink>
      <w:r>
        <w:rPr>
          <w:sz w:val="20"/>
        </w:rPr>
        <w:t xml:space="preserve">.</w:t>
      </w:r>
    </w:p>
    <w:p>
      <w:pPr>
        <w:pStyle w:val="0"/>
        <w:spacing w:before="200" w:line-rule="auto"/>
        <w:ind w:firstLine="540"/>
        <w:jc w:val="both"/>
      </w:pPr>
      <w:r>
        <w:rPr>
          <w:sz w:val="20"/>
        </w:rPr>
        <w:t xml:space="preserve">3. </w:t>
      </w:r>
      <w:hyperlink w:history="0" w:anchor="P1170" w:tooltip="Паспорт">
        <w:r>
          <w:rPr>
            <w:sz w:val="20"/>
            <w:color w:val="0000ff"/>
          </w:rPr>
          <w:t xml:space="preserve">Охрана окружающей среды</w:t>
        </w:r>
      </w:hyperlink>
      <w:r>
        <w:rPr>
          <w:sz w:val="20"/>
        </w:rPr>
        <w:t xml:space="preserve"> и рациональное природопользование.</w:t>
      </w:r>
    </w:p>
    <w:p>
      <w:pPr>
        <w:pStyle w:val="0"/>
        <w:spacing w:before="200" w:line-rule="auto"/>
        <w:ind w:firstLine="540"/>
        <w:jc w:val="both"/>
      </w:pPr>
      <w:r>
        <w:rPr>
          <w:sz w:val="20"/>
        </w:rPr>
        <w:t xml:space="preserve">4. </w:t>
      </w:r>
      <w:hyperlink w:history="0" w:anchor="P1447" w:tooltip="Паспорт">
        <w:r>
          <w:rPr>
            <w:sz w:val="20"/>
            <w:color w:val="0000ff"/>
          </w:rPr>
          <w:t xml:space="preserve">Сохранение, воспроизводство</w:t>
        </w:r>
      </w:hyperlink>
      <w:r>
        <w:rPr>
          <w:sz w:val="20"/>
        </w:rPr>
        <w:t xml:space="preserve"> и использование животного мира.</w:t>
      </w:r>
    </w:p>
    <w:p>
      <w:pPr>
        <w:pStyle w:val="0"/>
        <w:spacing w:before="200" w:line-rule="auto"/>
        <w:ind w:firstLine="540"/>
        <w:jc w:val="both"/>
      </w:pPr>
      <w:r>
        <w:rPr>
          <w:sz w:val="20"/>
        </w:rPr>
        <w:t xml:space="preserve">5. </w:t>
      </w:r>
      <w:hyperlink w:history="0" w:anchor="P1645" w:tooltip="Паспорт">
        <w:r>
          <w:rPr>
            <w:sz w:val="20"/>
            <w:color w:val="0000ff"/>
          </w:rPr>
          <w:t xml:space="preserve">Любительское рыболовство</w:t>
        </w:r>
      </w:hyperlink>
      <w:r>
        <w:rPr>
          <w:sz w:val="20"/>
        </w:rPr>
        <w:t xml:space="preserve"> и охрана водных биоресурсов.</w:t>
      </w:r>
    </w:p>
    <w:p>
      <w:pPr>
        <w:pStyle w:val="0"/>
        <w:spacing w:before="200" w:line-rule="auto"/>
        <w:ind w:firstLine="540"/>
        <w:jc w:val="both"/>
      </w:pPr>
      <w:r>
        <w:rPr>
          <w:sz w:val="20"/>
        </w:rPr>
        <w:t xml:space="preserve">6. </w:t>
      </w:r>
      <w:hyperlink w:history="0" w:anchor="P1864" w:tooltip="Паспорт">
        <w:r>
          <w:rPr>
            <w:sz w:val="20"/>
            <w:color w:val="0000ff"/>
          </w:rPr>
          <w:t xml:space="preserve">Обеспечение реализации</w:t>
        </w:r>
      </w:hyperlink>
      <w:r>
        <w:rPr>
          <w:sz w:val="20"/>
        </w:rPr>
        <w:t xml:space="preserve"> государственной программы.</w:t>
      </w:r>
    </w:p>
    <w:p>
      <w:pPr>
        <w:pStyle w:val="0"/>
        <w:spacing w:before="200" w:line-rule="auto"/>
        <w:ind w:firstLine="540"/>
        <w:jc w:val="both"/>
      </w:pPr>
      <w:r>
        <w:rPr>
          <w:sz w:val="20"/>
        </w:rPr>
        <w:t xml:space="preserve">7. </w:t>
      </w:r>
      <w:hyperlink w:history="0" w:anchor="P1966" w:tooltip="Паспорт">
        <w:r>
          <w:rPr>
            <w:sz w:val="20"/>
            <w:color w:val="0000ff"/>
          </w:rPr>
          <w:t xml:space="preserve">Обращение с твердыми коммунальными отходами</w:t>
        </w:r>
      </w:hyperlink>
      <w:r>
        <w:rPr>
          <w:sz w:val="20"/>
        </w:rPr>
        <w:t xml:space="preserve"> на территории Белгородской области.</w:t>
      </w:r>
    </w:p>
    <w:p>
      <w:pPr>
        <w:pStyle w:val="0"/>
        <w:spacing w:before="200" w:line-rule="auto"/>
        <w:ind w:firstLine="540"/>
        <w:jc w:val="both"/>
      </w:pPr>
      <w:hyperlink w:history="0" w:anchor="P554" w:tooltip="Паспорт">
        <w:r>
          <w:rPr>
            <w:sz w:val="20"/>
            <w:color w:val="0000ff"/>
          </w:rPr>
          <w:t xml:space="preserve">Подпрограмма 1</w:t>
        </w:r>
      </w:hyperlink>
      <w:r>
        <w:rPr>
          <w:sz w:val="20"/>
        </w:rPr>
        <w:t xml:space="preserve"> "Развитие лесного хозяйства" направлена на решение следующих задач:</w:t>
      </w:r>
    </w:p>
    <w:p>
      <w:pPr>
        <w:pStyle w:val="0"/>
        <w:spacing w:before="200" w:line-rule="auto"/>
        <w:ind w:firstLine="540"/>
        <w:jc w:val="both"/>
      </w:pPr>
      <w:r>
        <w:rPr>
          <w:sz w:val="20"/>
        </w:rPr>
        <w:t xml:space="preserve">- сокращение потерь лесного хозяйства от пожаров, вредных организмов и незаконных рубок;</w:t>
      </w:r>
    </w:p>
    <w:p>
      <w:pPr>
        <w:pStyle w:val="0"/>
        <w:spacing w:before="200" w:line-rule="auto"/>
        <w:ind w:firstLine="540"/>
        <w:jc w:val="both"/>
      </w:pPr>
      <w:r>
        <w:rPr>
          <w:sz w:val="20"/>
        </w:rPr>
        <w:t xml:space="preserve">- повышение эффективности использования, охраны, защиты и воспроизводства лесов;</w:t>
      </w:r>
    </w:p>
    <w:p>
      <w:pPr>
        <w:pStyle w:val="0"/>
        <w:spacing w:before="200" w:line-rule="auto"/>
        <w:ind w:firstLine="540"/>
        <w:jc w:val="both"/>
      </w:pPr>
      <w:r>
        <w:rPr>
          <w:sz w:val="20"/>
        </w:rPr>
        <w:t xml:space="preserve">- создание условий для рационального и интенсивного использования лесов при сохранении их экологических функций и биологического разнообразия;</w:t>
      </w:r>
    </w:p>
    <w:p>
      <w:pPr>
        <w:pStyle w:val="0"/>
        <w:spacing w:before="200" w:line-rule="auto"/>
        <w:ind w:firstLine="540"/>
        <w:jc w:val="both"/>
      </w:pPr>
      <w:r>
        <w:rPr>
          <w:sz w:val="20"/>
        </w:rPr>
        <w:t xml:space="preserve">- сокращение лесных пожаров, возникших по вине граждан;</w:t>
      </w:r>
    </w:p>
    <w:p>
      <w:pPr>
        <w:pStyle w:val="0"/>
        <w:spacing w:before="200" w:line-rule="auto"/>
        <w:ind w:firstLine="540"/>
        <w:jc w:val="both"/>
      </w:pPr>
      <w:r>
        <w:rPr>
          <w:sz w:val="20"/>
        </w:rPr>
        <w:t xml:space="preserve">- увеличение площади, покрытой лесами;</w:t>
      </w:r>
    </w:p>
    <w:p>
      <w:pPr>
        <w:pStyle w:val="0"/>
        <w:spacing w:before="200" w:line-rule="auto"/>
        <w:ind w:firstLine="540"/>
        <w:jc w:val="both"/>
      </w:pPr>
      <w:r>
        <w:rPr>
          <w:sz w:val="20"/>
        </w:rPr>
        <w:t xml:space="preserve">- обеспечение баланса выбытия и воспроизводства лесов.</w:t>
      </w:r>
    </w:p>
    <w:p>
      <w:pPr>
        <w:pStyle w:val="0"/>
        <w:spacing w:before="200" w:line-rule="auto"/>
        <w:ind w:firstLine="540"/>
        <w:jc w:val="both"/>
      </w:pPr>
      <w:r>
        <w:rPr>
          <w:sz w:val="20"/>
        </w:rPr>
        <w:t xml:space="preserve">Леса являются одним из возобновляемых природных ресурсов, выполняют важнейшие средообразующие и средозащитные функции. Организация устойчивого управления лесами, их многоцелевое, неистощимое использование является стратегически важной задачей.</w:t>
      </w:r>
    </w:p>
    <w:p>
      <w:pPr>
        <w:pStyle w:val="0"/>
        <w:spacing w:before="200" w:line-rule="auto"/>
        <w:ind w:firstLine="540"/>
        <w:jc w:val="both"/>
      </w:pPr>
      <w:r>
        <w:rPr>
          <w:sz w:val="20"/>
        </w:rPr>
        <w:t xml:space="preserve">Реализация комплекса мероприятий </w:t>
      </w:r>
      <w:hyperlink w:history="0" w:anchor="P554" w:tooltip="Паспорт">
        <w:r>
          <w:rPr>
            <w:sz w:val="20"/>
            <w:color w:val="0000ff"/>
          </w:rPr>
          <w:t xml:space="preserve">подпрограммы 1</w:t>
        </w:r>
      </w:hyperlink>
      <w:r>
        <w:rPr>
          <w:sz w:val="20"/>
        </w:rPr>
        <w:t xml:space="preserve"> обеспечит:</w:t>
      </w:r>
    </w:p>
    <w:p>
      <w:pPr>
        <w:pStyle w:val="0"/>
        <w:spacing w:before="200" w:line-rule="auto"/>
        <w:ind w:firstLine="540"/>
        <w:jc w:val="both"/>
      </w:pPr>
      <w:r>
        <w:rPr>
          <w:sz w:val="20"/>
        </w:rPr>
        <w:t xml:space="preserve">- уменьшение доли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до 0,083 процента;</w:t>
      </w:r>
    </w:p>
    <w:p>
      <w:pPr>
        <w:pStyle w:val="0"/>
        <w:spacing w:before="200" w:line-rule="auto"/>
        <w:ind w:firstLine="540"/>
        <w:jc w:val="both"/>
      </w:pPr>
      <w:r>
        <w:rPr>
          <w:sz w:val="20"/>
        </w:rPr>
        <w:t xml:space="preserve">- увеличение объема платежей в бюджетные системы Российской Федерации от использования лесов, расположенных на землях лесного фонда, в расчете на 1 га земель лесного фонда до 72,2 руб./га;</w:t>
      </w:r>
    </w:p>
    <w:p>
      <w:pPr>
        <w:pStyle w:val="0"/>
        <w:spacing w:before="200" w:line-rule="auto"/>
        <w:ind w:firstLine="540"/>
        <w:jc w:val="both"/>
      </w:pPr>
      <w:r>
        <w:rPr>
          <w:sz w:val="20"/>
        </w:rPr>
        <w:t xml:space="preserve">- сохранение лесистости на территории Белгородской области на уровне до 8,7 процента.</w:t>
      </w:r>
    </w:p>
    <w:p>
      <w:pPr>
        <w:pStyle w:val="0"/>
        <w:spacing w:before="200" w:line-rule="auto"/>
        <w:ind w:firstLine="540"/>
        <w:jc w:val="both"/>
      </w:pPr>
      <w:hyperlink w:history="0" w:anchor="P904" w:tooltip="Паспорт">
        <w:r>
          <w:rPr>
            <w:sz w:val="20"/>
            <w:color w:val="0000ff"/>
          </w:rPr>
          <w:t xml:space="preserve">Подпрограмма 2</w:t>
        </w:r>
      </w:hyperlink>
      <w:r>
        <w:rPr>
          <w:sz w:val="20"/>
        </w:rPr>
        <w:t xml:space="preserve"> "Развитие водохозяйственного комплекса" направлена на решение следующих задач:</w:t>
      </w:r>
    </w:p>
    <w:p>
      <w:pPr>
        <w:pStyle w:val="0"/>
        <w:spacing w:before="200" w:line-rule="auto"/>
        <w:ind w:firstLine="540"/>
        <w:jc w:val="both"/>
      </w:pPr>
      <w:r>
        <w:rPr>
          <w:sz w:val="20"/>
        </w:rPr>
        <w:t xml:space="preserve">- восстановление и экологическая реабилитация водных объектов;</w:t>
      </w:r>
    </w:p>
    <w:p>
      <w:pPr>
        <w:pStyle w:val="0"/>
        <w:spacing w:before="200" w:line-rule="auto"/>
        <w:ind w:firstLine="540"/>
        <w:jc w:val="both"/>
      </w:pPr>
      <w:r>
        <w:rPr>
          <w:sz w:val="20"/>
        </w:rPr>
        <w:t xml:space="preserve">- повышение эксплуатационной надежности гидротехнических сооружений, в том числе бесхозяйных, путем их приведения в безопасное техническое состояние;</w:t>
      </w:r>
    </w:p>
    <w:p>
      <w:pPr>
        <w:pStyle w:val="0"/>
        <w:spacing w:before="200" w:line-rule="auto"/>
        <w:ind w:firstLine="540"/>
        <w:jc w:val="both"/>
      </w:pPr>
      <w:r>
        <w:rPr>
          <w:sz w:val="20"/>
        </w:rPr>
        <w:t xml:space="preserve">- улучшение экологического состояния гидрографической сети;</w:t>
      </w:r>
    </w:p>
    <w:p>
      <w:pPr>
        <w:pStyle w:val="0"/>
        <w:jc w:val="both"/>
      </w:pPr>
      <w:r>
        <w:rPr>
          <w:sz w:val="20"/>
        </w:rPr>
        <w:t xml:space="preserve">(абзац введен </w:t>
      </w:r>
      <w:hyperlink w:history="0" r:id="rId62"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 предупреждение чрезвычайных ситуаций межмуниципального и регионального характера.</w:t>
      </w:r>
    </w:p>
    <w:p>
      <w:pPr>
        <w:pStyle w:val="0"/>
        <w:jc w:val="both"/>
      </w:pPr>
      <w:r>
        <w:rPr>
          <w:sz w:val="20"/>
        </w:rPr>
        <w:t xml:space="preserve">(абзац введен </w:t>
      </w:r>
      <w:hyperlink w:history="0" r:id="rId63"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Остаются проблемными вопросы поддержания экологически полноценного состояния рек области и безопасности функционирования гидротехнических сооружений.</w:t>
      </w:r>
    </w:p>
    <w:p>
      <w:pPr>
        <w:pStyle w:val="0"/>
        <w:spacing w:before="200" w:line-rule="auto"/>
        <w:ind w:firstLine="540"/>
        <w:jc w:val="both"/>
      </w:pPr>
      <w:r>
        <w:rPr>
          <w:sz w:val="20"/>
        </w:rPr>
        <w:t xml:space="preserve">Результаты обследования гидротехнических сооружений на территории области свидетельствуют о том, что 55 из них находится в аварийном и предаварийном состоянии.</w:t>
      </w:r>
    </w:p>
    <w:p>
      <w:pPr>
        <w:pStyle w:val="0"/>
        <w:spacing w:before="200" w:line-rule="auto"/>
        <w:ind w:firstLine="540"/>
        <w:jc w:val="both"/>
      </w:pPr>
      <w:r>
        <w:rPr>
          <w:sz w:val="20"/>
        </w:rPr>
        <w:t xml:space="preserve">Пути решения указанных проблем заключаются в осуществлении комплекса водохозяйственных мероприятий, связанных с использованием и охраной водных объектов, включая рационализацию использования водных ресурсов при соблюдении интересов всех водопользователей, охрану водных объектов, предупреждение негативного воздействия вод и обеспечение безопасности гидротехнических сооружений. В целях обеспечения защищенности населения от негативного воздействия вод и снижения размеров ущерба строительство и реконструкция гидротехнических сооружений будут проводиться, прежде всего, в наиболее паводкоопасных и подверженных подтоплению районах.</w:t>
      </w:r>
    </w:p>
    <w:p>
      <w:pPr>
        <w:pStyle w:val="0"/>
        <w:spacing w:before="200" w:line-rule="auto"/>
        <w:ind w:firstLine="540"/>
        <w:jc w:val="both"/>
      </w:pPr>
      <w:r>
        <w:rPr>
          <w:sz w:val="20"/>
        </w:rPr>
        <w:t xml:space="preserve">Реализация комплекса мероприятий </w:t>
      </w:r>
      <w:hyperlink w:history="0" w:anchor="P904" w:tooltip="Паспорт">
        <w:r>
          <w:rPr>
            <w:sz w:val="20"/>
            <w:color w:val="0000ff"/>
          </w:rPr>
          <w:t xml:space="preserve">подпрограммы 2</w:t>
        </w:r>
      </w:hyperlink>
      <w:r>
        <w:rPr>
          <w:sz w:val="20"/>
        </w:rPr>
        <w:t xml:space="preserve"> обеспечит:</w:t>
      </w:r>
    </w:p>
    <w:p>
      <w:pPr>
        <w:pStyle w:val="0"/>
        <w:spacing w:before="200" w:line-rule="auto"/>
        <w:ind w:firstLine="540"/>
        <w:jc w:val="both"/>
      </w:pPr>
      <w:r>
        <w:rPr>
          <w:sz w:val="20"/>
        </w:rPr>
        <w:t xml:space="preserve">-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pPr>
        <w:pStyle w:val="0"/>
        <w:spacing w:before="200" w:line-rule="auto"/>
        <w:ind w:firstLine="540"/>
        <w:jc w:val="both"/>
      </w:pPr>
      <w:r>
        <w:rPr>
          <w:sz w:val="20"/>
        </w:rPr>
        <w:t xml:space="preserve">- ежегодное обеспечение доли проведенных водохозяйственных мероприятий от установленного перечня водохозяйственных мероприятий, проводимых за счет субсидий, субвенций, на уровне 100 процентов к 2025 году.</w:t>
      </w:r>
    </w:p>
    <w:p>
      <w:pPr>
        <w:pStyle w:val="0"/>
        <w:spacing w:before="200" w:line-rule="auto"/>
        <w:ind w:firstLine="540"/>
        <w:jc w:val="both"/>
      </w:pPr>
      <w:hyperlink w:history="0" w:anchor="P1170" w:tooltip="Паспорт">
        <w:r>
          <w:rPr>
            <w:sz w:val="20"/>
            <w:color w:val="0000ff"/>
          </w:rPr>
          <w:t xml:space="preserve">Подпрограмма 3</w:t>
        </w:r>
      </w:hyperlink>
      <w:r>
        <w:rPr>
          <w:sz w:val="20"/>
        </w:rPr>
        <w:t xml:space="preserve"> "Охрана окружающей среды и рациональное природопользование" направлена на решение следующих задач:</w:t>
      </w:r>
    </w:p>
    <w:p>
      <w:pPr>
        <w:pStyle w:val="0"/>
        <w:spacing w:before="200" w:line-rule="auto"/>
        <w:ind w:firstLine="540"/>
        <w:jc w:val="both"/>
      </w:pPr>
      <w:r>
        <w:rPr>
          <w:sz w:val="20"/>
        </w:rPr>
        <w:t xml:space="preserve">- организация и ведение региональной базы данных по природопользованию и охране окружающей среды;</w:t>
      </w:r>
    </w:p>
    <w:p>
      <w:pPr>
        <w:pStyle w:val="0"/>
        <w:spacing w:before="200" w:line-rule="auto"/>
        <w:ind w:firstLine="540"/>
        <w:jc w:val="both"/>
      </w:pPr>
      <w:r>
        <w:rPr>
          <w:sz w:val="20"/>
        </w:rPr>
        <w:t xml:space="preserve">- внедрение бассейнового принципа в управление природопользования (реализация концепции бассейнового природопользования);</w:t>
      </w:r>
    </w:p>
    <w:p>
      <w:pPr>
        <w:pStyle w:val="0"/>
        <w:spacing w:before="200" w:line-rule="auto"/>
        <w:ind w:firstLine="540"/>
        <w:jc w:val="both"/>
      </w:pPr>
      <w:r>
        <w:rPr>
          <w:sz w:val="20"/>
        </w:rPr>
        <w:t xml:space="preserve">-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w:t>
      </w:r>
    </w:p>
    <w:p>
      <w:pPr>
        <w:pStyle w:val="0"/>
        <w:spacing w:before="200" w:line-rule="auto"/>
        <w:ind w:firstLine="540"/>
        <w:jc w:val="both"/>
      </w:pPr>
      <w:r>
        <w:rPr>
          <w:sz w:val="20"/>
        </w:rPr>
        <w:t xml:space="preserve">- разработка проектно-сметной документации на рекультивацию объектов накопленного вреда окружающей среде;</w:t>
      </w:r>
    </w:p>
    <w:p>
      <w:pPr>
        <w:pStyle w:val="0"/>
        <w:spacing w:before="200" w:line-rule="auto"/>
        <w:ind w:firstLine="540"/>
        <w:jc w:val="both"/>
      </w:pPr>
      <w:r>
        <w:rPr>
          <w:sz w:val="20"/>
        </w:rPr>
        <w:t xml:space="preserve">- разработка системы инжиниринга зеленой инфраструктуры Белгородской области.</w:t>
      </w:r>
    </w:p>
    <w:p>
      <w:pPr>
        <w:pStyle w:val="0"/>
        <w:jc w:val="both"/>
      </w:pPr>
      <w:r>
        <w:rPr>
          <w:sz w:val="20"/>
        </w:rPr>
        <w:t xml:space="preserve">(абзац введен </w:t>
      </w:r>
      <w:hyperlink w:history="0" r:id="rId6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Реализация комплекса мероприятий </w:t>
      </w:r>
      <w:hyperlink w:history="0" w:anchor="P1170" w:tooltip="Паспорт">
        <w:r>
          <w:rPr>
            <w:sz w:val="20"/>
            <w:color w:val="0000ff"/>
          </w:rPr>
          <w:t xml:space="preserve">подпрограммы 3</w:t>
        </w:r>
      </w:hyperlink>
      <w:r>
        <w:rPr>
          <w:sz w:val="20"/>
        </w:rPr>
        <w:t xml:space="preserve"> обеспечит:</w:t>
      </w:r>
    </w:p>
    <w:p>
      <w:pPr>
        <w:pStyle w:val="0"/>
        <w:spacing w:before="200" w:line-rule="auto"/>
        <w:ind w:firstLine="540"/>
        <w:jc w:val="both"/>
      </w:pPr>
      <w:r>
        <w:rPr>
          <w:sz w:val="20"/>
        </w:rPr>
        <w:t xml:space="preserve">- увеличение доли гидротехнических сооружений с неудовлетворительным и опасным уровнем безопасности, приведенных в безопасное техническое состояние, до 37,7 процента к 2016 году;</w:t>
      </w:r>
    </w:p>
    <w:p>
      <w:pPr>
        <w:pStyle w:val="0"/>
        <w:spacing w:before="200" w:line-rule="auto"/>
        <w:ind w:firstLine="540"/>
        <w:jc w:val="both"/>
      </w:pPr>
      <w:r>
        <w:rPr>
          <w:sz w:val="20"/>
        </w:rPr>
        <w:t xml:space="preserve">- увеличение количества подготовленных проектных решений и отчетов, направленных на экологическую безопасность, стабилизацию и улучшение качества окружающей среды, до 78 штук к 2025 году.</w:t>
      </w:r>
    </w:p>
    <w:p>
      <w:pPr>
        <w:pStyle w:val="0"/>
        <w:jc w:val="both"/>
      </w:pPr>
      <w:r>
        <w:rPr>
          <w:sz w:val="20"/>
        </w:rPr>
        <w:t xml:space="preserve">(в ред. постановлений Правительства Белгородской области от 20.07.2020 </w:t>
      </w:r>
      <w:hyperlink w:history="0" r:id="rId65"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rPr>
        <w:t xml:space="preserve">, от 22.03.2021 </w:t>
      </w:r>
      <w:hyperlink w:history="0" r:id="rId66"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rPr>
        <w:t xml:space="preserve">, от 17.01.2022 </w:t>
      </w:r>
      <w:hyperlink w:history="0" r:id="rId6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rPr>
        <w:t xml:space="preserve">)</w:t>
      </w:r>
    </w:p>
    <w:p>
      <w:pPr>
        <w:pStyle w:val="0"/>
        <w:spacing w:before="200" w:line-rule="auto"/>
        <w:ind w:firstLine="540"/>
        <w:jc w:val="both"/>
      </w:pPr>
      <w:hyperlink w:history="0" w:anchor="P1447" w:tooltip="Паспорт">
        <w:r>
          <w:rPr>
            <w:sz w:val="20"/>
            <w:color w:val="0000ff"/>
          </w:rPr>
          <w:t xml:space="preserve">Подпрограмма 4</w:t>
        </w:r>
      </w:hyperlink>
      <w:r>
        <w:rPr>
          <w:sz w:val="20"/>
        </w:rPr>
        <w:t xml:space="preserve"> "Сохранение, воспроизводство и использование животного мира" направлена на решение следующих задач:</w:t>
      </w:r>
    </w:p>
    <w:p>
      <w:pPr>
        <w:pStyle w:val="0"/>
        <w:spacing w:before="200" w:line-rule="auto"/>
        <w:ind w:firstLine="540"/>
        <w:jc w:val="both"/>
      </w:pPr>
      <w:r>
        <w:rPr>
          <w:sz w:val="20"/>
        </w:rPr>
        <w:t xml:space="preserve">- развитие ресурсной базы охотничьего хозяйства до уровня, соответствующего экологической емкости территории области;</w:t>
      </w:r>
    </w:p>
    <w:p>
      <w:pPr>
        <w:pStyle w:val="0"/>
        <w:spacing w:before="200" w:line-rule="auto"/>
        <w:ind w:firstLine="540"/>
        <w:jc w:val="both"/>
      </w:pPr>
      <w:r>
        <w:rPr>
          <w:sz w:val="20"/>
        </w:rPr>
        <w:t xml:space="preserve">- развитие конкурентного охотничьего хозяйства, обеспечивающего удовлетворение потребностей населения области;</w:t>
      </w:r>
    </w:p>
    <w:p>
      <w:pPr>
        <w:pStyle w:val="0"/>
        <w:spacing w:before="200" w:line-rule="auto"/>
        <w:ind w:firstLine="540"/>
        <w:jc w:val="both"/>
      </w:pPr>
      <w:r>
        <w:rPr>
          <w:sz w:val="20"/>
        </w:rPr>
        <w:t xml:space="preserve">-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w:t>
      </w:r>
    </w:p>
    <w:p>
      <w:pPr>
        <w:pStyle w:val="0"/>
        <w:spacing w:before="200" w:line-rule="auto"/>
        <w:ind w:firstLine="540"/>
        <w:jc w:val="both"/>
      </w:pPr>
      <w:r>
        <w:rPr>
          <w:sz w:val="20"/>
        </w:rPr>
        <w:t xml:space="preserve">Реализация комплекса мероприятий </w:t>
      </w:r>
      <w:hyperlink w:history="0" w:anchor="P1447" w:tooltip="Паспорт">
        <w:r>
          <w:rPr>
            <w:sz w:val="20"/>
            <w:color w:val="0000ff"/>
          </w:rPr>
          <w:t xml:space="preserve">подпрограммы 4</w:t>
        </w:r>
      </w:hyperlink>
      <w:r>
        <w:rPr>
          <w:sz w:val="20"/>
        </w:rPr>
        <w:t xml:space="preserve"> обеспечит:</w:t>
      </w:r>
    </w:p>
    <w:p>
      <w:pPr>
        <w:pStyle w:val="0"/>
        <w:spacing w:before="200" w:line-rule="auto"/>
        <w:ind w:firstLine="540"/>
        <w:jc w:val="both"/>
      </w:pPr>
      <w:r>
        <w:rPr>
          <w:sz w:val="20"/>
        </w:rPr>
        <w:t xml:space="preserve">- отношение фактической добычи косули европейской к установленным лимитам добычи до 80 процентов.</w:t>
      </w:r>
    </w:p>
    <w:p>
      <w:pPr>
        <w:pStyle w:val="0"/>
        <w:jc w:val="both"/>
      </w:pPr>
      <w:r>
        <w:rPr>
          <w:sz w:val="20"/>
        </w:rPr>
        <w:t xml:space="preserve">(в ред. </w:t>
      </w:r>
      <w:hyperlink w:history="0" r:id="rId6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hyperlink w:history="0" w:anchor="P1645" w:tooltip="Паспорт">
        <w:r>
          <w:rPr>
            <w:sz w:val="20"/>
            <w:color w:val="0000ff"/>
          </w:rPr>
          <w:t xml:space="preserve">Подпрограмма 5</w:t>
        </w:r>
      </w:hyperlink>
      <w:r>
        <w:rPr>
          <w:sz w:val="20"/>
        </w:rPr>
        <w:t xml:space="preserve"> "Любительское рыболовство и охрана водных биоресурсов" направлена на решение следующих задач:</w:t>
      </w:r>
    </w:p>
    <w:p>
      <w:pPr>
        <w:pStyle w:val="0"/>
        <w:spacing w:before="200" w:line-rule="auto"/>
        <w:ind w:firstLine="540"/>
        <w:jc w:val="both"/>
      </w:pPr>
      <w:r>
        <w:rPr>
          <w:sz w:val="20"/>
        </w:rPr>
        <w:t xml:space="preserve">- создание условий жителям области для реализации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w:t>
      </w:r>
    </w:p>
    <w:p>
      <w:pPr>
        <w:pStyle w:val="0"/>
        <w:spacing w:before="200" w:line-rule="auto"/>
        <w:ind w:firstLine="540"/>
        <w:jc w:val="both"/>
      </w:pPr>
      <w:r>
        <w:rPr>
          <w:sz w:val="20"/>
        </w:rPr>
        <w:t xml:space="preserve">-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w:t>
      </w:r>
    </w:p>
    <w:p>
      <w:pPr>
        <w:pStyle w:val="0"/>
        <w:spacing w:before="200" w:line-rule="auto"/>
        <w:ind w:firstLine="540"/>
        <w:jc w:val="both"/>
      </w:pPr>
      <w:r>
        <w:rPr>
          <w:sz w:val="20"/>
        </w:rPr>
        <w:t xml:space="preserve">Реализация комплекса мероприятий </w:t>
      </w:r>
      <w:hyperlink w:history="0" w:anchor="P1645" w:tooltip="Паспорт">
        <w:r>
          <w:rPr>
            <w:sz w:val="20"/>
            <w:color w:val="0000ff"/>
          </w:rPr>
          <w:t xml:space="preserve">подпрограммы 5</w:t>
        </w:r>
      </w:hyperlink>
      <w:r>
        <w:rPr>
          <w:sz w:val="20"/>
        </w:rPr>
        <w:t xml:space="preserve"> обеспечит:</w:t>
      </w:r>
    </w:p>
    <w:p>
      <w:pPr>
        <w:pStyle w:val="0"/>
        <w:spacing w:before="200" w:line-rule="auto"/>
        <w:ind w:firstLine="540"/>
        <w:jc w:val="both"/>
      </w:pPr>
      <w:r>
        <w:rPr>
          <w:sz w:val="20"/>
        </w:rPr>
        <w:t xml:space="preserve">- увеличение среднего вылова одного рыболова за один выезд до 3,41 кг.</w:t>
      </w:r>
    </w:p>
    <w:p>
      <w:pPr>
        <w:pStyle w:val="0"/>
        <w:spacing w:before="200" w:line-rule="auto"/>
        <w:ind w:firstLine="540"/>
        <w:jc w:val="both"/>
      </w:pPr>
      <w:r>
        <w:rPr>
          <w:sz w:val="20"/>
        </w:rPr>
        <w:t xml:space="preserve">Реализация </w:t>
      </w:r>
      <w:hyperlink w:history="0" w:anchor="P1864" w:tooltip="Паспорт">
        <w:r>
          <w:rPr>
            <w:sz w:val="20"/>
            <w:color w:val="0000ff"/>
          </w:rPr>
          <w:t xml:space="preserve">подпрограммы 6</w:t>
        </w:r>
      </w:hyperlink>
      <w:r>
        <w:rPr>
          <w:sz w:val="20"/>
        </w:rPr>
        <w:t xml:space="preserve"> "Обеспечение реализации государственной программы" будет способствовать решению задач остальных подпрограмм государственной программы, а также исполнению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w:t>
      </w:r>
    </w:p>
    <w:p>
      <w:pPr>
        <w:pStyle w:val="0"/>
        <w:jc w:val="both"/>
      </w:pPr>
      <w:r>
        <w:rPr>
          <w:sz w:val="20"/>
        </w:rPr>
        <w:t xml:space="preserve">(в ред. </w:t>
      </w:r>
      <w:hyperlink w:history="0" r:id="rId69"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Реализация комплекса мероприятий подпрограммы 6 обеспечит:</w:t>
      </w:r>
    </w:p>
    <w:p>
      <w:pPr>
        <w:pStyle w:val="0"/>
        <w:spacing w:before="200" w:line-rule="auto"/>
        <w:ind w:firstLine="540"/>
        <w:jc w:val="both"/>
      </w:pPr>
      <w:r>
        <w:rPr>
          <w:sz w:val="20"/>
        </w:rPr>
        <w:t xml:space="preserve">- достижение среднего уровня целевых показателей государственной программы не менее 95 процентов.</w:t>
      </w:r>
    </w:p>
    <w:p>
      <w:pPr>
        <w:pStyle w:val="0"/>
        <w:spacing w:before="200" w:line-rule="auto"/>
        <w:ind w:firstLine="540"/>
        <w:jc w:val="both"/>
      </w:pPr>
      <w:r>
        <w:rPr>
          <w:sz w:val="20"/>
        </w:rPr>
        <w:t xml:space="preserve">Подпрограмма 7 "Обращение с твердыми коммунальными отходами на территории Белгородской области" направлена на решение следующих задач:</w:t>
      </w:r>
    </w:p>
    <w:p>
      <w:pPr>
        <w:pStyle w:val="0"/>
        <w:spacing w:before="200" w:line-rule="auto"/>
        <w:ind w:firstLine="540"/>
        <w:jc w:val="both"/>
      </w:pPr>
      <w:r>
        <w:rPr>
          <w:sz w:val="20"/>
        </w:rPr>
        <w:t xml:space="preserve">-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w:t>
      </w:r>
    </w:p>
    <w:p>
      <w:pPr>
        <w:pStyle w:val="0"/>
        <w:spacing w:before="200" w:line-rule="auto"/>
        <w:ind w:firstLine="540"/>
        <w:jc w:val="both"/>
      </w:pPr>
      <w:r>
        <w:rPr>
          <w:sz w:val="20"/>
        </w:rPr>
        <w:t xml:space="preserve">-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pPr>
        <w:pStyle w:val="0"/>
        <w:spacing w:before="200" w:line-rule="auto"/>
        <w:ind w:firstLine="540"/>
        <w:jc w:val="both"/>
      </w:pPr>
      <w:r>
        <w:rPr>
          <w:sz w:val="20"/>
        </w:rPr>
        <w:t xml:space="preserve">-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p>
      <w:pPr>
        <w:pStyle w:val="0"/>
        <w:jc w:val="both"/>
      </w:pPr>
      <w:r>
        <w:rPr>
          <w:sz w:val="20"/>
        </w:rPr>
        <w:t xml:space="preserve">(в ред. </w:t>
      </w:r>
      <w:hyperlink w:history="0" r:id="rId70"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p>
      <w:pPr>
        <w:pStyle w:val="0"/>
        <w:spacing w:before="200" w:line-rule="auto"/>
        <w:ind w:firstLine="540"/>
        <w:jc w:val="both"/>
      </w:pPr>
      <w:r>
        <w:rPr>
          <w:sz w:val="20"/>
        </w:rPr>
        <w:t xml:space="preserve">Реализация комплекса мероприятий подпрограммы 7 обеспечит:</w:t>
      </w:r>
    </w:p>
    <w:p>
      <w:pPr>
        <w:pStyle w:val="0"/>
        <w:spacing w:before="200" w:line-rule="auto"/>
        <w:ind w:firstLine="540"/>
        <w:jc w:val="both"/>
      </w:pPr>
      <w:r>
        <w:rPr>
          <w:sz w:val="20"/>
        </w:rPr>
        <w:t xml:space="preserve">- проведение мероприятий по эколого-просветительской и образовательной деятельности - не менее 48 единиц к 2024 году.</w:t>
      </w:r>
    </w:p>
    <w:p>
      <w:pPr>
        <w:pStyle w:val="0"/>
        <w:jc w:val="both"/>
      </w:pPr>
      <w:r>
        <w:rPr>
          <w:sz w:val="20"/>
        </w:rPr>
        <w:t xml:space="preserve">(в ред. </w:t>
      </w:r>
      <w:hyperlink w:history="0" r:id="rId71"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p>
      <w:pPr>
        <w:pStyle w:val="0"/>
        <w:spacing w:before="200" w:line-rule="auto"/>
        <w:ind w:firstLine="540"/>
        <w:jc w:val="both"/>
      </w:pPr>
      <w:r>
        <w:rPr>
          <w:sz w:val="20"/>
        </w:rPr>
        <w:t xml:space="preserve">Реализация комплекса мероприятий подпрограммы 7 обеспечила:</w:t>
      </w:r>
    </w:p>
    <w:p>
      <w:pPr>
        <w:pStyle w:val="0"/>
        <w:spacing w:before="200" w:line-rule="auto"/>
        <w:ind w:firstLine="540"/>
        <w:jc w:val="both"/>
      </w:pPr>
      <w:r>
        <w:rPr>
          <w:sz w:val="20"/>
        </w:rPr>
        <w:t xml:space="preserve">- долю обработанных твердых коммунальных отходов в общем объеме твердых коммунальных отходов - 8,1 процента в 2018 году;</w:t>
      </w:r>
    </w:p>
    <w:p>
      <w:pPr>
        <w:pStyle w:val="0"/>
        <w:spacing w:before="200" w:line-rule="auto"/>
        <w:ind w:firstLine="540"/>
        <w:jc w:val="both"/>
      </w:pPr>
      <w:r>
        <w:rPr>
          <w:sz w:val="20"/>
        </w:rPr>
        <w:t xml:space="preserve">- увеличение доли охвата потребителей услугой по обращению с твердыми коммунальными отходами до 100 процентов к 2020 году.</w:t>
      </w:r>
    </w:p>
    <w:p>
      <w:pPr>
        <w:pStyle w:val="0"/>
        <w:jc w:val="both"/>
      </w:pPr>
      <w:r>
        <w:rPr>
          <w:sz w:val="20"/>
        </w:rPr>
        <w:t xml:space="preserve">(в ред. </w:t>
      </w:r>
      <w:hyperlink w:history="0" r:id="rId72"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p>
      <w:pPr>
        <w:pStyle w:val="0"/>
        <w:jc w:val="both"/>
      </w:pPr>
      <w:r>
        <w:rPr>
          <w:sz w:val="20"/>
        </w:rPr>
      </w:r>
    </w:p>
    <w:p>
      <w:pPr>
        <w:pStyle w:val="2"/>
        <w:outlineLvl w:val="1"/>
        <w:jc w:val="center"/>
      </w:pPr>
      <w:r>
        <w:rPr>
          <w:sz w:val="20"/>
        </w:rPr>
        <w:t xml:space="preserve">V. Ресурсное обеспечение государственной программы</w:t>
      </w:r>
    </w:p>
    <w:p>
      <w:pPr>
        <w:pStyle w:val="0"/>
        <w:jc w:val="both"/>
      </w:pPr>
      <w:r>
        <w:rPr>
          <w:sz w:val="20"/>
        </w:rPr>
      </w:r>
    </w:p>
    <w:p>
      <w:pPr>
        <w:pStyle w:val="0"/>
        <w:ind w:firstLine="540"/>
        <w:jc w:val="both"/>
      </w:pPr>
      <w:r>
        <w:rPr>
          <w:sz w:val="20"/>
        </w:rPr>
        <w:t xml:space="preserve">Планируемые объемы финансирования государственной программы в разрезе источников финансирования по годам реализации представлены в таблице.</w:t>
      </w:r>
    </w:p>
    <w:p>
      <w:pPr>
        <w:pStyle w:val="0"/>
        <w:jc w:val="both"/>
      </w:pPr>
      <w:r>
        <w:rPr>
          <w:sz w:val="20"/>
        </w:rPr>
      </w:r>
    </w:p>
    <w:p>
      <w:pPr>
        <w:pStyle w:val="0"/>
        <w:outlineLvl w:val="2"/>
        <w:jc w:val="right"/>
      </w:pPr>
      <w:r>
        <w:rPr>
          <w:sz w:val="20"/>
        </w:rPr>
        <w:t xml:space="preserve">Таблица 2</w:t>
      </w:r>
    </w:p>
    <w:p>
      <w:pPr>
        <w:pStyle w:val="0"/>
        <w:jc w:val="center"/>
      </w:pPr>
      <w:r>
        <w:rPr>
          <w:sz w:val="20"/>
        </w:rPr>
        <w:t xml:space="preserve">(в ред. </w:t>
      </w:r>
      <w:hyperlink w:history="0" r:id="rId73"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center"/>
      </w:pPr>
      <w:r>
        <w:rPr>
          <w:sz w:val="20"/>
        </w:rPr>
      </w:r>
    </w:p>
    <w:p>
      <w:pPr>
        <w:pStyle w:val="2"/>
        <w:outlineLvl w:val="3"/>
        <w:jc w:val="center"/>
      </w:pPr>
      <w:r>
        <w:rPr>
          <w:sz w:val="20"/>
        </w:rPr>
        <w:t xml:space="preserve">Планируемые объемы финансирования государственной программы</w:t>
      </w:r>
    </w:p>
    <w:p>
      <w:pPr>
        <w:pStyle w:val="2"/>
        <w:jc w:val="center"/>
      </w:pPr>
      <w:r>
        <w:rPr>
          <w:sz w:val="20"/>
        </w:rPr>
        <w:t xml:space="preserve">на 1 этапе реализации</w:t>
      </w:r>
    </w:p>
    <w:p>
      <w:pPr>
        <w:pStyle w:val="0"/>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94"/>
        <w:gridCol w:w="1361"/>
        <w:gridCol w:w="1249"/>
        <w:gridCol w:w="1928"/>
        <w:gridCol w:w="1417"/>
        <w:gridCol w:w="1134"/>
        <w:gridCol w:w="1264"/>
      </w:tblGrid>
      <w:tr>
        <w:tc>
          <w:tcPr>
            <w:tcW w:w="694" w:type="dxa"/>
            <w:vMerge w:val="restart"/>
          </w:tcPr>
          <w:p>
            <w:pPr>
              <w:pStyle w:val="0"/>
              <w:jc w:val="center"/>
            </w:pPr>
            <w:r>
              <w:rPr>
                <w:sz w:val="20"/>
              </w:rPr>
              <w:t xml:space="preserve">Годы</w:t>
            </w:r>
          </w:p>
        </w:tc>
        <w:tc>
          <w:tcPr>
            <w:gridSpan w:val="6"/>
            <w:tcW w:w="8353" w:type="dxa"/>
          </w:tcPr>
          <w:p>
            <w:pPr>
              <w:pStyle w:val="0"/>
              <w:jc w:val="center"/>
            </w:pPr>
            <w:r>
              <w:rPr>
                <w:sz w:val="20"/>
              </w:rPr>
              <w:t xml:space="preserve">Источники финансирования</w:t>
            </w:r>
          </w:p>
        </w:tc>
      </w:tr>
      <w:tr>
        <w:tc>
          <w:tcPr>
            <w:vMerge w:val="continue"/>
          </w:tcPr>
          <w:p/>
        </w:tc>
        <w:tc>
          <w:tcPr>
            <w:tcW w:w="1361"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1928" w:type="dxa"/>
          </w:tcPr>
          <w:p>
            <w:pPr>
              <w:pStyle w:val="0"/>
              <w:jc w:val="center"/>
            </w:pPr>
            <w:r>
              <w:rPr>
                <w:sz w:val="20"/>
              </w:rPr>
              <w:t xml:space="preserve">Консолидированные бюджеты муниципальных образований</w:t>
            </w:r>
          </w:p>
        </w:tc>
        <w:tc>
          <w:tcPr>
            <w:tcW w:w="1417" w:type="dxa"/>
          </w:tcPr>
          <w:p>
            <w:pPr>
              <w:pStyle w:val="0"/>
              <w:jc w:val="center"/>
            </w:pPr>
            <w:r>
              <w:rPr>
                <w:sz w:val="20"/>
              </w:rPr>
              <w:t xml:space="preserve">Территориальные внебюджетные фонды</w:t>
            </w:r>
          </w:p>
        </w:tc>
        <w:tc>
          <w:tcPr>
            <w:tcW w:w="1134" w:type="dxa"/>
          </w:tcPr>
          <w:p>
            <w:pPr>
              <w:pStyle w:val="0"/>
              <w:jc w:val="center"/>
            </w:pPr>
            <w:r>
              <w:rPr>
                <w:sz w:val="20"/>
              </w:rPr>
              <w:t xml:space="preserve">Иные источники</w:t>
            </w:r>
          </w:p>
        </w:tc>
        <w:tc>
          <w:tcPr>
            <w:tcW w:w="1264" w:type="dxa"/>
          </w:tcPr>
          <w:p>
            <w:pPr>
              <w:pStyle w:val="0"/>
              <w:jc w:val="center"/>
            </w:pPr>
            <w:r>
              <w:rPr>
                <w:sz w:val="20"/>
              </w:rPr>
              <w:t xml:space="preserve">Всего</w:t>
            </w:r>
          </w:p>
        </w:tc>
      </w:tr>
      <w:tr>
        <w:tc>
          <w:tcPr>
            <w:tcW w:w="694" w:type="dxa"/>
            <w:vAlign w:val="center"/>
          </w:tcPr>
          <w:p>
            <w:pPr>
              <w:pStyle w:val="0"/>
              <w:jc w:val="center"/>
            </w:pPr>
            <w:r>
              <w:rPr>
                <w:sz w:val="20"/>
              </w:rPr>
              <w:t xml:space="preserve">2014</w:t>
            </w:r>
          </w:p>
        </w:tc>
        <w:tc>
          <w:tcPr>
            <w:tcW w:w="1361" w:type="dxa"/>
            <w:vAlign w:val="center"/>
          </w:tcPr>
          <w:p>
            <w:pPr>
              <w:pStyle w:val="0"/>
              <w:jc w:val="center"/>
            </w:pPr>
            <w:r>
              <w:rPr>
                <w:sz w:val="20"/>
              </w:rPr>
              <w:t xml:space="preserve">120764</w:t>
            </w:r>
          </w:p>
        </w:tc>
        <w:tc>
          <w:tcPr>
            <w:tcW w:w="1249" w:type="dxa"/>
            <w:vAlign w:val="center"/>
          </w:tcPr>
          <w:p>
            <w:pPr>
              <w:pStyle w:val="0"/>
              <w:jc w:val="center"/>
            </w:pPr>
            <w:r>
              <w:rPr>
                <w:sz w:val="20"/>
              </w:rPr>
              <w:t xml:space="preserve">255470</w:t>
            </w:r>
          </w:p>
        </w:tc>
        <w:tc>
          <w:tcPr>
            <w:tcW w:w="1928" w:type="dxa"/>
            <w:vAlign w:val="center"/>
          </w:tcPr>
          <w:p>
            <w:pPr>
              <w:pStyle w:val="0"/>
              <w:jc w:val="center"/>
            </w:pPr>
            <w:r>
              <w:rPr>
                <w:sz w:val="20"/>
              </w:rPr>
              <w:t xml:space="preserve">16204</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392438</w:t>
            </w:r>
          </w:p>
        </w:tc>
      </w:tr>
      <w:tr>
        <w:tc>
          <w:tcPr>
            <w:tcW w:w="694" w:type="dxa"/>
            <w:vAlign w:val="center"/>
          </w:tcPr>
          <w:p>
            <w:pPr>
              <w:pStyle w:val="0"/>
              <w:jc w:val="center"/>
            </w:pPr>
            <w:r>
              <w:rPr>
                <w:sz w:val="20"/>
              </w:rPr>
              <w:t xml:space="preserve">2015</w:t>
            </w:r>
          </w:p>
        </w:tc>
        <w:tc>
          <w:tcPr>
            <w:tcW w:w="1361" w:type="dxa"/>
            <w:vAlign w:val="center"/>
          </w:tcPr>
          <w:p>
            <w:pPr>
              <w:pStyle w:val="0"/>
              <w:jc w:val="center"/>
            </w:pPr>
            <w:r>
              <w:rPr>
                <w:sz w:val="20"/>
              </w:rPr>
              <w:t xml:space="preserve">116807</w:t>
            </w:r>
          </w:p>
        </w:tc>
        <w:tc>
          <w:tcPr>
            <w:tcW w:w="1249" w:type="dxa"/>
            <w:vAlign w:val="center"/>
          </w:tcPr>
          <w:p>
            <w:pPr>
              <w:pStyle w:val="0"/>
              <w:jc w:val="center"/>
            </w:pPr>
            <w:r>
              <w:rPr>
                <w:sz w:val="20"/>
              </w:rPr>
              <w:t xml:space="preserve">228279</w:t>
            </w:r>
          </w:p>
        </w:tc>
        <w:tc>
          <w:tcPr>
            <w:tcW w:w="1928" w:type="dxa"/>
            <w:vAlign w:val="center"/>
          </w:tcPr>
          <w:p>
            <w:pPr>
              <w:pStyle w:val="0"/>
              <w:jc w:val="center"/>
            </w:pPr>
            <w:r>
              <w:rPr>
                <w:sz w:val="20"/>
              </w:rPr>
              <w:t xml:space="preserve">23764</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368850</w:t>
            </w:r>
          </w:p>
        </w:tc>
      </w:tr>
      <w:tr>
        <w:tc>
          <w:tcPr>
            <w:tcW w:w="694" w:type="dxa"/>
            <w:vAlign w:val="center"/>
          </w:tcPr>
          <w:p>
            <w:pPr>
              <w:pStyle w:val="0"/>
              <w:jc w:val="center"/>
            </w:pPr>
            <w:r>
              <w:rPr>
                <w:sz w:val="20"/>
              </w:rPr>
              <w:t xml:space="preserve">2016</w:t>
            </w:r>
          </w:p>
        </w:tc>
        <w:tc>
          <w:tcPr>
            <w:tcW w:w="1361" w:type="dxa"/>
            <w:vAlign w:val="center"/>
          </w:tcPr>
          <w:p>
            <w:pPr>
              <w:pStyle w:val="0"/>
              <w:jc w:val="center"/>
            </w:pPr>
            <w:r>
              <w:rPr>
                <w:sz w:val="20"/>
              </w:rPr>
              <w:t xml:space="preserve">111309,1</w:t>
            </w:r>
          </w:p>
        </w:tc>
        <w:tc>
          <w:tcPr>
            <w:tcW w:w="1249" w:type="dxa"/>
            <w:vAlign w:val="center"/>
          </w:tcPr>
          <w:p>
            <w:pPr>
              <w:pStyle w:val="0"/>
              <w:jc w:val="center"/>
            </w:pPr>
            <w:r>
              <w:rPr>
                <w:sz w:val="20"/>
              </w:rPr>
              <w:t xml:space="preserve">229683,0</w:t>
            </w:r>
          </w:p>
        </w:tc>
        <w:tc>
          <w:tcPr>
            <w:tcW w:w="1928" w:type="dxa"/>
            <w:vAlign w:val="center"/>
          </w:tcPr>
          <w:p>
            <w:pPr>
              <w:pStyle w:val="0"/>
              <w:jc w:val="center"/>
            </w:pPr>
            <w:r>
              <w:rPr>
                <w:sz w:val="20"/>
              </w:rPr>
              <w:t xml:space="preserve">9472,74</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350464,84</w:t>
            </w:r>
          </w:p>
        </w:tc>
      </w:tr>
      <w:tr>
        <w:tc>
          <w:tcPr>
            <w:tcW w:w="694" w:type="dxa"/>
            <w:vAlign w:val="center"/>
          </w:tcPr>
          <w:p>
            <w:pPr>
              <w:pStyle w:val="0"/>
              <w:jc w:val="center"/>
            </w:pPr>
            <w:r>
              <w:rPr>
                <w:sz w:val="20"/>
              </w:rPr>
              <w:t xml:space="preserve">2017</w:t>
            </w:r>
          </w:p>
        </w:tc>
        <w:tc>
          <w:tcPr>
            <w:tcW w:w="1361" w:type="dxa"/>
            <w:vAlign w:val="center"/>
          </w:tcPr>
          <w:p>
            <w:pPr>
              <w:pStyle w:val="0"/>
              <w:jc w:val="center"/>
            </w:pPr>
            <w:r>
              <w:rPr>
                <w:sz w:val="20"/>
              </w:rPr>
              <w:t xml:space="preserve">90413</w:t>
            </w:r>
          </w:p>
        </w:tc>
        <w:tc>
          <w:tcPr>
            <w:tcW w:w="1249" w:type="dxa"/>
            <w:vAlign w:val="center"/>
          </w:tcPr>
          <w:p>
            <w:pPr>
              <w:pStyle w:val="0"/>
              <w:jc w:val="center"/>
            </w:pPr>
            <w:r>
              <w:rPr>
                <w:sz w:val="20"/>
              </w:rPr>
              <w:t xml:space="preserve">227913</w:t>
            </w:r>
          </w:p>
        </w:tc>
        <w:tc>
          <w:tcPr>
            <w:tcW w:w="1928" w:type="dxa"/>
            <w:vAlign w:val="center"/>
          </w:tcPr>
          <w:p>
            <w:pPr>
              <w:pStyle w:val="0"/>
              <w:jc w:val="center"/>
            </w:pPr>
            <w:r>
              <w:rPr>
                <w:sz w:val="20"/>
              </w:rPr>
              <w:t xml:space="preserve">1544</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319870</w:t>
            </w:r>
          </w:p>
        </w:tc>
      </w:tr>
      <w:tr>
        <w:tc>
          <w:tcPr>
            <w:tcW w:w="694" w:type="dxa"/>
            <w:vAlign w:val="center"/>
          </w:tcPr>
          <w:p>
            <w:pPr>
              <w:pStyle w:val="0"/>
              <w:jc w:val="center"/>
            </w:pPr>
            <w:r>
              <w:rPr>
                <w:sz w:val="20"/>
              </w:rPr>
              <w:t xml:space="preserve">2018</w:t>
            </w:r>
          </w:p>
        </w:tc>
        <w:tc>
          <w:tcPr>
            <w:tcW w:w="1361" w:type="dxa"/>
            <w:vAlign w:val="center"/>
          </w:tcPr>
          <w:p>
            <w:pPr>
              <w:pStyle w:val="0"/>
              <w:jc w:val="center"/>
            </w:pPr>
            <w:r>
              <w:rPr>
                <w:sz w:val="20"/>
              </w:rPr>
              <w:t xml:space="preserve">137776</w:t>
            </w:r>
          </w:p>
        </w:tc>
        <w:tc>
          <w:tcPr>
            <w:tcW w:w="1249" w:type="dxa"/>
            <w:vAlign w:val="center"/>
          </w:tcPr>
          <w:p>
            <w:pPr>
              <w:pStyle w:val="0"/>
              <w:jc w:val="center"/>
            </w:pPr>
            <w:r>
              <w:rPr>
                <w:sz w:val="20"/>
              </w:rPr>
              <w:t xml:space="preserve">293595</w:t>
            </w:r>
          </w:p>
        </w:tc>
        <w:tc>
          <w:tcPr>
            <w:tcW w:w="1928" w:type="dxa"/>
            <w:vAlign w:val="center"/>
          </w:tcPr>
          <w:p>
            <w:pPr>
              <w:pStyle w:val="0"/>
              <w:jc w:val="center"/>
            </w:pPr>
            <w:r>
              <w:rPr>
                <w:sz w:val="20"/>
              </w:rPr>
              <w:t xml:space="preserve">2958,6</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61399</w:t>
            </w:r>
          </w:p>
        </w:tc>
        <w:tc>
          <w:tcPr>
            <w:tcW w:w="1264" w:type="dxa"/>
            <w:vAlign w:val="center"/>
          </w:tcPr>
          <w:p>
            <w:pPr>
              <w:pStyle w:val="0"/>
              <w:jc w:val="center"/>
            </w:pPr>
            <w:r>
              <w:rPr>
                <w:sz w:val="20"/>
              </w:rPr>
              <w:t xml:space="preserve">495728,6</w:t>
            </w:r>
          </w:p>
        </w:tc>
      </w:tr>
      <w:tr>
        <w:tc>
          <w:tcPr>
            <w:tcW w:w="694" w:type="dxa"/>
            <w:vAlign w:val="center"/>
          </w:tcPr>
          <w:p>
            <w:pPr>
              <w:pStyle w:val="0"/>
              <w:jc w:val="center"/>
            </w:pPr>
            <w:r>
              <w:rPr>
                <w:sz w:val="20"/>
              </w:rPr>
              <w:t xml:space="preserve">2019</w:t>
            </w:r>
          </w:p>
        </w:tc>
        <w:tc>
          <w:tcPr>
            <w:tcW w:w="1361" w:type="dxa"/>
            <w:vAlign w:val="center"/>
          </w:tcPr>
          <w:p>
            <w:pPr>
              <w:pStyle w:val="0"/>
              <w:jc w:val="center"/>
            </w:pPr>
            <w:r>
              <w:rPr>
                <w:sz w:val="20"/>
              </w:rPr>
              <w:t xml:space="preserve">172190,8</w:t>
            </w:r>
          </w:p>
        </w:tc>
        <w:tc>
          <w:tcPr>
            <w:tcW w:w="1249" w:type="dxa"/>
            <w:vAlign w:val="center"/>
          </w:tcPr>
          <w:p>
            <w:pPr>
              <w:pStyle w:val="0"/>
              <w:jc w:val="center"/>
            </w:pPr>
            <w:r>
              <w:rPr>
                <w:sz w:val="20"/>
              </w:rPr>
              <w:t xml:space="preserve">307473,5</w:t>
            </w:r>
          </w:p>
        </w:tc>
        <w:tc>
          <w:tcPr>
            <w:tcW w:w="1928" w:type="dxa"/>
            <w:vAlign w:val="center"/>
          </w:tcPr>
          <w:p>
            <w:pPr>
              <w:pStyle w:val="0"/>
              <w:jc w:val="center"/>
            </w:pPr>
            <w:r>
              <w:rPr>
                <w:sz w:val="20"/>
              </w:rPr>
              <w:t xml:space="preserve">7114,0</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347120</w:t>
            </w:r>
          </w:p>
        </w:tc>
        <w:tc>
          <w:tcPr>
            <w:tcW w:w="1264" w:type="dxa"/>
            <w:vAlign w:val="center"/>
          </w:tcPr>
          <w:p>
            <w:pPr>
              <w:pStyle w:val="0"/>
              <w:jc w:val="center"/>
            </w:pPr>
            <w:r>
              <w:rPr>
                <w:sz w:val="20"/>
              </w:rPr>
              <w:t xml:space="preserve">833898,3</w:t>
            </w:r>
          </w:p>
        </w:tc>
      </w:tr>
      <w:tr>
        <w:tc>
          <w:tcPr>
            <w:tcW w:w="694" w:type="dxa"/>
            <w:vAlign w:val="center"/>
          </w:tcPr>
          <w:p>
            <w:pPr>
              <w:pStyle w:val="0"/>
              <w:jc w:val="center"/>
            </w:pPr>
            <w:r>
              <w:rPr>
                <w:sz w:val="20"/>
              </w:rPr>
              <w:t xml:space="preserve">2020</w:t>
            </w:r>
          </w:p>
        </w:tc>
        <w:tc>
          <w:tcPr>
            <w:tcW w:w="1361" w:type="dxa"/>
            <w:vAlign w:val="center"/>
          </w:tcPr>
          <w:p>
            <w:pPr>
              <w:pStyle w:val="0"/>
              <w:jc w:val="center"/>
            </w:pPr>
            <w:r>
              <w:rPr>
                <w:sz w:val="20"/>
              </w:rPr>
              <w:t xml:space="preserve">279759,1</w:t>
            </w:r>
          </w:p>
        </w:tc>
        <w:tc>
          <w:tcPr>
            <w:tcW w:w="1249" w:type="dxa"/>
            <w:vAlign w:val="center"/>
          </w:tcPr>
          <w:p>
            <w:pPr>
              <w:pStyle w:val="0"/>
              <w:jc w:val="center"/>
            </w:pPr>
            <w:r>
              <w:rPr>
                <w:sz w:val="20"/>
              </w:rPr>
              <w:t xml:space="preserve">379248,1</w:t>
            </w:r>
          </w:p>
        </w:tc>
        <w:tc>
          <w:tcPr>
            <w:tcW w:w="1928" w:type="dxa"/>
            <w:vAlign w:val="center"/>
          </w:tcPr>
          <w:p>
            <w:pPr>
              <w:pStyle w:val="0"/>
              <w:jc w:val="center"/>
            </w:pPr>
            <w:r>
              <w:rPr>
                <w:sz w:val="20"/>
              </w:rPr>
              <w:t xml:space="preserve">7406,1</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298636,1</w:t>
            </w:r>
          </w:p>
        </w:tc>
        <w:tc>
          <w:tcPr>
            <w:tcW w:w="1264" w:type="dxa"/>
            <w:vAlign w:val="center"/>
          </w:tcPr>
          <w:p>
            <w:pPr>
              <w:pStyle w:val="0"/>
              <w:jc w:val="center"/>
            </w:pPr>
            <w:r>
              <w:rPr>
                <w:sz w:val="20"/>
              </w:rPr>
              <w:t xml:space="preserve">965049,4</w:t>
            </w:r>
          </w:p>
        </w:tc>
      </w:tr>
      <w:tr>
        <w:tc>
          <w:tcPr>
            <w:tcW w:w="694" w:type="dxa"/>
            <w:vAlign w:val="center"/>
          </w:tcPr>
          <w:p>
            <w:pPr>
              <w:pStyle w:val="0"/>
              <w:jc w:val="center"/>
            </w:pPr>
            <w:r>
              <w:rPr>
                <w:sz w:val="20"/>
              </w:rPr>
              <w:t xml:space="preserve">Всего</w:t>
            </w:r>
          </w:p>
        </w:tc>
        <w:tc>
          <w:tcPr>
            <w:tcW w:w="1361" w:type="dxa"/>
            <w:vAlign w:val="center"/>
          </w:tcPr>
          <w:p>
            <w:pPr>
              <w:pStyle w:val="0"/>
              <w:jc w:val="center"/>
            </w:pPr>
            <w:r>
              <w:rPr>
                <w:sz w:val="20"/>
              </w:rPr>
              <w:t xml:space="preserve">1029019,0</w:t>
            </w:r>
          </w:p>
        </w:tc>
        <w:tc>
          <w:tcPr>
            <w:tcW w:w="1249" w:type="dxa"/>
            <w:vAlign w:val="center"/>
          </w:tcPr>
          <w:p>
            <w:pPr>
              <w:pStyle w:val="0"/>
              <w:jc w:val="center"/>
            </w:pPr>
            <w:r>
              <w:rPr>
                <w:sz w:val="20"/>
              </w:rPr>
              <w:t xml:space="preserve">1921661,6</w:t>
            </w:r>
          </w:p>
        </w:tc>
        <w:tc>
          <w:tcPr>
            <w:tcW w:w="1928" w:type="dxa"/>
            <w:vAlign w:val="center"/>
          </w:tcPr>
          <w:p>
            <w:pPr>
              <w:pStyle w:val="0"/>
              <w:jc w:val="center"/>
            </w:pPr>
            <w:r>
              <w:rPr>
                <w:sz w:val="20"/>
              </w:rPr>
              <w:t xml:space="preserve">68463,44</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707155,1</w:t>
            </w:r>
          </w:p>
        </w:tc>
        <w:tc>
          <w:tcPr>
            <w:tcW w:w="1264" w:type="dxa"/>
            <w:vAlign w:val="center"/>
          </w:tcPr>
          <w:p>
            <w:pPr>
              <w:pStyle w:val="0"/>
              <w:jc w:val="center"/>
            </w:pPr>
            <w:r>
              <w:rPr>
                <w:sz w:val="20"/>
              </w:rPr>
              <w:t xml:space="preserve">3726299,14</w:t>
            </w:r>
          </w:p>
        </w:tc>
      </w:tr>
    </w:tbl>
    <w:p>
      <w:pPr>
        <w:pStyle w:val="0"/>
        <w:jc w:val="center"/>
      </w:pPr>
      <w:r>
        <w:rPr>
          <w:sz w:val="20"/>
        </w:rPr>
      </w:r>
    </w:p>
    <w:p>
      <w:pPr>
        <w:pStyle w:val="2"/>
        <w:outlineLvl w:val="3"/>
        <w:jc w:val="center"/>
      </w:pPr>
      <w:r>
        <w:rPr>
          <w:sz w:val="20"/>
        </w:rPr>
        <w:t xml:space="preserve">Планируемые объемы финансирования государственной программы</w:t>
      </w:r>
    </w:p>
    <w:p>
      <w:pPr>
        <w:pStyle w:val="2"/>
        <w:jc w:val="center"/>
      </w:pPr>
      <w:r>
        <w:rPr>
          <w:sz w:val="20"/>
        </w:rPr>
        <w:t xml:space="preserve">на 2 этапе реализации</w:t>
      </w:r>
    </w:p>
    <w:p>
      <w:pPr>
        <w:pStyle w:val="0"/>
        <w:jc w:val="center"/>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4"/>
        <w:gridCol w:w="1191"/>
        <w:gridCol w:w="1249"/>
        <w:gridCol w:w="1701"/>
        <w:gridCol w:w="1417"/>
        <w:gridCol w:w="1134"/>
        <w:gridCol w:w="1264"/>
      </w:tblGrid>
      <w:tr>
        <w:tc>
          <w:tcPr>
            <w:tcW w:w="1084" w:type="dxa"/>
            <w:vMerge w:val="restart"/>
          </w:tcPr>
          <w:p>
            <w:pPr>
              <w:pStyle w:val="0"/>
              <w:jc w:val="center"/>
            </w:pPr>
            <w:r>
              <w:rPr>
                <w:sz w:val="20"/>
              </w:rPr>
              <w:t xml:space="preserve">Годы</w:t>
            </w:r>
          </w:p>
        </w:tc>
        <w:tc>
          <w:tcPr>
            <w:gridSpan w:val="6"/>
            <w:tcW w:w="7956" w:type="dxa"/>
          </w:tcPr>
          <w:p>
            <w:pPr>
              <w:pStyle w:val="0"/>
              <w:jc w:val="center"/>
            </w:pPr>
            <w:r>
              <w:rPr>
                <w:sz w:val="20"/>
              </w:rPr>
              <w:t xml:space="preserve">Источники финансирования</w:t>
            </w:r>
          </w:p>
        </w:tc>
      </w:tr>
      <w:tr>
        <w:tc>
          <w:tcPr>
            <w:vMerge w:val="continue"/>
          </w:tcPr>
          <w:p/>
        </w:tc>
        <w:tc>
          <w:tcPr>
            <w:tcW w:w="1191"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1701" w:type="dxa"/>
          </w:tcPr>
          <w:p>
            <w:pPr>
              <w:pStyle w:val="0"/>
              <w:jc w:val="center"/>
            </w:pPr>
            <w:r>
              <w:rPr>
                <w:sz w:val="20"/>
              </w:rPr>
              <w:t xml:space="preserve">Консолидированные бюджеты муниципальных образований</w:t>
            </w:r>
          </w:p>
        </w:tc>
        <w:tc>
          <w:tcPr>
            <w:tcW w:w="1417" w:type="dxa"/>
          </w:tcPr>
          <w:p>
            <w:pPr>
              <w:pStyle w:val="0"/>
              <w:jc w:val="center"/>
            </w:pPr>
            <w:r>
              <w:rPr>
                <w:sz w:val="20"/>
              </w:rPr>
              <w:t xml:space="preserve">Территориальные внебюджетные фонды</w:t>
            </w:r>
          </w:p>
        </w:tc>
        <w:tc>
          <w:tcPr>
            <w:tcW w:w="1134" w:type="dxa"/>
          </w:tcPr>
          <w:p>
            <w:pPr>
              <w:pStyle w:val="0"/>
              <w:jc w:val="center"/>
            </w:pPr>
            <w:r>
              <w:rPr>
                <w:sz w:val="20"/>
              </w:rPr>
              <w:t xml:space="preserve">Иные источники</w:t>
            </w:r>
          </w:p>
        </w:tc>
        <w:tc>
          <w:tcPr>
            <w:tcW w:w="1264" w:type="dxa"/>
          </w:tcPr>
          <w:p>
            <w:pPr>
              <w:pStyle w:val="0"/>
              <w:jc w:val="center"/>
            </w:pPr>
            <w:r>
              <w:rPr>
                <w:sz w:val="20"/>
              </w:rPr>
              <w:t xml:space="preserve">Всего</w:t>
            </w:r>
          </w:p>
        </w:tc>
      </w:tr>
      <w:tr>
        <w:tc>
          <w:tcPr>
            <w:tcW w:w="1084" w:type="dxa"/>
            <w:vAlign w:val="center"/>
          </w:tcPr>
          <w:p>
            <w:pPr>
              <w:pStyle w:val="0"/>
              <w:jc w:val="center"/>
            </w:pPr>
            <w:r>
              <w:rPr>
                <w:sz w:val="20"/>
              </w:rPr>
              <w:t xml:space="preserve">2021</w:t>
            </w:r>
          </w:p>
        </w:tc>
        <w:tc>
          <w:tcPr>
            <w:tcW w:w="1191" w:type="dxa"/>
            <w:vAlign w:val="center"/>
          </w:tcPr>
          <w:p>
            <w:pPr>
              <w:pStyle w:val="0"/>
              <w:jc w:val="center"/>
            </w:pPr>
            <w:r>
              <w:rPr>
                <w:sz w:val="20"/>
              </w:rPr>
              <w:t xml:space="preserve">164765,7</w:t>
            </w:r>
          </w:p>
        </w:tc>
        <w:tc>
          <w:tcPr>
            <w:tcW w:w="1249" w:type="dxa"/>
            <w:vAlign w:val="center"/>
          </w:tcPr>
          <w:p>
            <w:pPr>
              <w:pStyle w:val="0"/>
              <w:jc w:val="center"/>
            </w:pPr>
            <w:r>
              <w:rPr>
                <w:sz w:val="20"/>
              </w:rPr>
              <w:t xml:space="preserve">478940,9</w:t>
            </w:r>
          </w:p>
        </w:tc>
        <w:tc>
          <w:tcPr>
            <w:tcW w:w="1701" w:type="dxa"/>
            <w:vAlign w:val="center"/>
          </w:tcPr>
          <w:p>
            <w:pPr>
              <w:pStyle w:val="0"/>
              <w:jc w:val="center"/>
            </w:pPr>
            <w:r>
              <w:rPr>
                <w:sz w:val="20"/>
              </w:rPr>
              <w:t xml:space="preserve">5412,2</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84597,7</w:t>
            </w:r>
          </w:p>
        </w:tc>
        <w:tc>
          <w:tcPr>
            <w:tcW w:w="1264" w:type="dxa"/>
            <w:vAlign w:val="center"/>
          </w:tcPr>
          <w:p>
            <w:pPr>
              <w:pStyle w:val="0"/>
              <w:jc w:val="center"/>
            </w:pPr>
            <w:r>
              <w:rPr>
                <w:sz w:val="20"/>
              </w:rPr>
              <w:t xml:space="preserve">733716,5</w:t>
            </w:r>
          </w:p>
        </w:tc>
      </w:tr>
      <w:tr>
        <w:tc>
          <w:tcPr>
            <w:tcW w:w="1084" w:type="dxa"/>
            <w:vAlign w:val="center"/>
          </w:tcPr>
          <w:p>
            <w:pPr>
              <w:pStyle w:val="0"/>
              <w:jc w:val="center"/>
            </w:pPr>
            <w:r>
              <w:rPr>
                <w:sz w:val="20"/>
              </w:rPr>
              <w:t xml:space="preserve">2022</w:t>
            </w:r>
          </w:p>
        </w:tc>
        <w:tc>
          <w:tcPr>
            <w:tcW w:w="1191" w:type="dxa"/>
            <w:vAlign w:val="center"/>
          </w:tcPr>
          <w:p>
            <w:pPr>
              <w:pStyle w:val="0"/>
              <w:jc w:val="center"/>
            </w:pPr>
            <w:r>
              <w:rPr>
                <w:sz w:val="20"/>
              </w:rPr>
              <w:t xml:space="preserve">640357</w:t>
            </w:r>
          </w:p>
        </w:tc>
        <w:tc>
          <w:tcPr>
            <w:tcW w:w="1249" w:type="dxa"/>
            <w:vAlign w:val="center"/>
          </w:tcPr>
          <w:p>
            <w:pPr>
              <w:pStyle w:val="0"/>
              <w:jc w:val="center"/>
            </w:pPr>
            <w:r>
              <w:rPr>
                <w:sz w:val="20"/>
              </w:rPr>
              <w:t xml:space="preserve">1191508,7</w:t>
            </w:r>
          </w:p>
        </w:tc>
        <w:tc>
          <w:tcPr>
            <w:tcW w:w="1701" w:type="dxa"/>
            <w:vAlign w:val="center"/>
          </w:tcPr>
          <w:p>
            <w:pPr>
              <w:pStyle w:val="0"/>
              <w:jc w:val="center"/>
            </w:pPr>
            <w:r>
              <w:rPr>
                <w:sz w:val="20"/>
              </w:rPr>
              <w:t xml:space="preserve">57485,9</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1889351,6</w:t>
            </w:r>
          </w:p>
        </w:tc>
      </w:tr>
      <w:tr>
        <w:tc>
          <w:tcPr>
            <w:tcW w:w="1084" w:type="dxa"/>
            <w:vAlign w:val="center"/>
          </w:tcPr>
          <w:p>
            <w:pPr>
              <w:pStyle w:val="0"/>
              <w:jc w:val="center"/>
            </w:pPr>
            <w:r>
              <w:rPr>
                <w:sz w:val="20"/>
              </w:rPr>
              <w:t xml:space="preserve">2023 (прогноз)</w:t>
            </w:r>
          </w:p>
        </w:tc>
        <w:tc>
          <w:tcPr>
            <w:tcW w:w="1191" w:type="dxa"/>
            <w:vAlign w:val="center"/>
          </w:tcPr>
          <w:p>
            <w:pPr>
              <w:pStyle w:val="0"/>
              <w:jc w:val="center"/>
            </w:pPr>
            <w:r>
              <w:rPr>
                <w:sz w:val="20"/>
              </w:rPr>
              <w:t xml:space="preserve">409199,9</w:t>
            </w:r>
          </w:p>
        </w:tc>
        <w:tc>
          <w:tcPr>
            <w:tcW w:w="1249" w:type="dxa"/>
            <w:vAlign w:val="center"/>
          </w:tcPr>
          <w:p>
            <w:pPr>
              <w:pStyle w:val="0"/>
              <w:jc w:val="center"/>
            </w:pPr>
            <w:r>
              <w:rPr>
                <w:sz w:val="20"/>
              </w:rPr>
              <w:t xml:space="preserve">1284463,8</w:t>
            </w:r>
          </w:p>
        </w:tc>
        <w:tc>
          <w:tcPr>
            <w:tcW w:w="1701" w:type="dxa"/>
            <w:vAlign w:val="center"/>
          </w:tcPr>
          <w:p>
            <w:pPr>
              <w:pStyle w:val="0"/>
              <w:jc w:val="center"/>
            </w:pPr>
            <w:r>
              <w:rPr>
                <w:sz w:val="20"/>
              </w:rPr>
              <w:t xml:space="preserve">62732,9</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1756396,6</w:t>
            </w:r>
          </w:p>
        </w:tc>
      </w:tr>
      <w:tr>
        <w:tc>
          <w:tcPr>
            <w:tcW w:w="1084" w:type="dxa"/>
            <w:vAlign w:val="center"/>
          </w:tcPr>
          <w:p>
            <w:pPr>
              <w:pStyle w:val="0"/>
              <w:jc w:val="center"/>
            </w:pPr>
            <w:r>
              <w:rPr>
                <w:sz w:val="20"/>
              </w:rPr>
              <w:t xml:space="preserve">2024 (прогноз)</w:t>
            </w:r>
          </w:p>
        </w:tc>
        <w:tc>
          <w:tcPr>
            <w:tcW w:w="1191" w:type="dxa"/>
            <w:vAlign w:val="center"/>
          </w:tcPr>
          <w:p>
            <w:pPr>
              <w:pStyle w:val="0"/>
              <w:jc w:val="center"/>
            </w:pPr>
            <w:r>
              <w:rPr>
                <w:sz w:val="20"/>
              </w:rPr>
              <w:t xml:space="preserve">358181,1</w:t>
            </w:r>
          </w:p>
        </w:tc>
        <w:tc>
          <w:tcPr>
            <w:tcW w:w="1249" w:type="dxa"/>
            <w:vAlign w:val="center"/>
          </w:tcPr>
          <w:p>
            <w:pPr>
              <w:pStyle w:val="0"/>
              <w:jc w:val="center"/>
            </w:pPr>
            <w:r>
              <w:rPr>
                <w:sz w:val="20"/>
              </w:rPr>
              <w:t xml:space="preserve">715017,3</w:t>
            </w:r>
          </w:p>
        </w:tc>
        <w:tc>
          <w:tcPr>
            <w:tcW w:w="1701" w:type="dxa"/>
            <w:vAlign w:val="center"/>
          </w:tcPr>
          <w:p>
            <w:pPr>
              <w:pStyle w:val="0"/>
              <w:jc w:val="center"/>
            </w:pPr>
            <w:r>
              <w:rPr>
                <w:sz w:val="20"/>
              </w:rPr>
              <w:t xml:space="preserve">54204,5</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197067</w:t>
            </w:r>
          </w:p>
        </w:tc>
        <w:tc>
          <w:tcPr>
            <w:tcW w:w="1264" w:type="dxa"/>
            <w:vAlign w:val="center"/>
          </w:tcPr>
          <w:p>
            <w:pPr>
              <w:pStyle w:val="0"/>
              <w:jc w:val="center"/>
            </w:pPr>
            <w:r>
              <w:rPr>
                <w:sz w:val="20"/>
              </w:rPr>
              <w:t xml:space="preserve">1324469,9</w:t>
            </w:r>
          </w:p>
        </w:tc>
      </w:tr>
      <w:tr>
        <w:tc>
          <w:tcPr>
            <w:tcW w:w="1084" w:type="dxa"/>
            <w:vAlign w:val="center"/>
          </w:tcPr>
          <w:p>
            <w:pPr>
              <w:pStyle w:val="0"/>
              <w:jc w:val="center"/>
            </w:pPr>
            <w:r>
              <w:rPr>
                <w:sz w:val="20"/>
              </w:rPr>
              <w:t xml:space="preserve">2025 (прогноз)</w:t>
            </w:r>
          </w:p>
        </w:tc>
        <w:tc>
          <w:tcPr>
            <w:tcW w:w="1191" w:type="dxa"/>
            <w:vAlign w:val="center"/>
          </w:tcPr>
          <w:p>
            <w:pPr>
              <w:pStyle w:val="0"/>
              <w:jc w:val="center"/>
            </w:pPr>
            <w:r>
              <w:rPr>
                <w:sz w:val="20"/>
              </w:rPr>
              <w:t xml:space="preserve">155411,8</w:t>
            </w:r>
          </w:p>
        </w:tc>
        <w:tc>
          <w:tcPr>
            <w:tcW w:w="1249" w:type="dxa"/>
            <w:vAlign w:val="center"/>
          </w:tcPr>
          <w:p>
            <w:pPr>
              <w:pStyle w:val="0"/>
              <w:jc w:val="center"/>
            </w:pPr>
            <w:r>
              <w:rPr>
                <w:sz w:val="20"/>
              </w:rPr>
              <w:t xml:space="preserve">471696,9</w:t>
            </w:r>
          </w:p>
        </w:tc>
        <w:tc>
          <w:tcPr>
            <w:tcW w:w="1701" w:type="dxa"/>
            <w:vAlign w:val="center"/>
          </w:tcPr>
          <w:p>
            <w:pPr>
              <w:pStyle w:val="0"/>
              <w:jc w:val="center"/>
            </w:pPr>
            <w:r>
              <w:rPr>
                <w:sz w:val="20"/>
              </w:rPr>
              <w:t xml:space="preserve">2274,5</w:t>
            </w:r>
          </w:p>
        </w:tc>
        <w:tc>
          <w:tcPr>
            <w:tcW w:w="1417" w:type="dxa"/>
            <w:vAlign w:val="center"/>
          </w:tcPr>
          <w:p>
            <w:pPr>
              <w:pStyle w:val="0"/>
              <w:jc w:val="center"/>
            </w:pPr>
            <w:r>
              <w:rPr>
                <w:sz w:val="20"/>
              </w:rPr>
            </w:r>
          </w:p>
        </w:tc>
        <w:tc>
          <w:tcPr>
            <w:tcW w:w="1134" w:type="dxa"/>
            <w:vAlign w:val="center"/>
          </w:tcPr>
          <w:p>
            <w:pPr>
              <w:pStyle w:val="0"/>
              <w:jc w:val="center"/>
            </w:pPr>
            <w:r>
              <w:rPr>
                <w:sz w:val="20"/>
              </w:rPr>
            </w:r>
          </w:p>
        </w:tc>
        <w:tc>
          <w:tcPr>
            <w:tcW w:w="1264" w:type="dxa"/>
            <w:vAlign w:val="center"/>
          </w:tcPr>
          <w:p>
            <w:pPr>
              <w:pStyle w:val="0"/>
              <w:jc w:val="center"/>
            </w:pPr>
            <w:r>
              <w:rPr>
                <w:sz w:val="20"/>
              </w:rPr>
              <w:t xml:space="preserve">629383,2</w:t>
            </w:r>
          </w:p>
        </w:tc>
      </w:tr>
      <w:tr>
        <w:tc>
          <w:tcPr>
            <w:tcW w:w="1084" w:type="dxa"/>
            <w:vAlign w:val="center"/>
          </w:tcPr>
          <w:p>
            <w:pPr>
              <w:pStyle w:val="0"/>
              <w:jc w:val="center"/>
            </w:pPr>
            <w:r>
              <w:rPr>
                <w:sz w:val="20"/>
              </w:rPr>
              <w:t xml:space="preserve">Всего</w:t>
            </w:r>
          </w:p>
        </w:tc>
        <w:tc>
          <w:tcPr>
            <w:tcW w:w="1191" w:type="dxa"/>
            <w:vAlign w:val="center"/>
          </w:tcPr>
          <w:p>
            <w:pPr>
              <w:pStyle w:val="0"/>
              <w:jc w:val="center"/>
            </w:pPr>
            <w:r>
              <w:rPr>
                <w:sz w:val="20"/>
              </w:rPr>
              <w:t xml:space="preserve">1727915,5</w:t>
            </w:r>
          </w:p>
        </w:tc>
        <w:tc>
          <w:tcPr>
            <w:tcW w:w="1249" w:type="dxa"/>
            <w:vAlign w:val="center"/>
          </w:tcPr>
          <w:p>
            <w:pPr>
              <w:pStyle w:val="0"/>
              <w:jc w:val="center"/>
            </w:pPr>
            <w:r>
              <w:rPr>
                <w:sz w:val="20"/>
              </w:rPr>
              <w:t xml:space="preserve">4141627,6</w:t>
            </w:r>
          </w:p>
        </w:tc>
        <w:tc>
          <w:tcPr>
            <w:tcW w:w="1701" w:type="dxa"/>
            <w:vAlign w:val="center"/>
          </w:tcPr>
          <w:p>
            <w:pPr>
              <w:pStyle w:val="0"/>
              <w:jc w:val="center"/>
            </w:pPr>
            <w:r>
              <w:rPr>
                <w:sz w:val="20"/>
              </w:rPr>
              <w:t xml:space="preserve">182110</w:t>
            </w:r>
          </w:p>
        </w:tc>
        <w:tc>
          <w:tcPr>
            <w:tcW w:w="1417" w:type="dxa"/>
            <w:vAlign w:val="center"/>
          </w:tcPr>
          <w:p>
            <w:pPr>
              <w:pStyle w:val="0"/>
              <w:jc w:val="center"/>
            </w:pPr>
            <w:r>
              <w:rPr>
                <w:sz w:val="20"/>
              </w:rPr>
            </w:r>
          </w:p>
        </w:tc>
        <w:tc>
          <w:tcPr>
            <w:tcW w:w="1134" w:type="dxa"/>
            <w:vAlign w:val="center"/>
          </w:tcPr>
          <w:p>
            <w:pPr>
              <w:pStyle w:val="0"/>
              <w:jc w:val="center"/>
            </w:pPr>
            <w:r>
              <w:rPr>
                <w:sz w:val="20"/>
              </w:rPr>
              <w:t xml:space="preserve">281664,7</w:t>
            </w:r>
          </w:p>
        </w:tc>
        <w:tc>
          <w:tcPr>
            <w:tcW w:w="1264" w:type="dxa"/>
            <w:vAlign w:val="center"/>
          </w:tcPr>
          <w:p>
            <w:pPr>
              <w:pStyle w:val="0"/>
              <w:jc w:val="center"/>
            </w:pPr>
            <w:r>
              <w:rPr>
                <w:sz w:val="20"/>
              </w:rPr>
              <w:t xml:space="preserve">6333317,8</w:t>
            </w:r>
          </w:p>
        </w:tc>
      </w:tr>
    </w:tbl>
    <w:p>
      <w:pPr>
        <w:pStyle w:val="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государственной программы, подпрограмм государственной программы из различных источников финансирования и ресурсное обеспечение реализации государственной программы, подпрограмм государственной программы за счет средств бюджета Белгородской области представлены соответственно в </w:t>
      </w:r>
      <w:hyperlink w:history="0" w:anchor="P4186" w:tooltip="Приложение N 3">
        <w:r>
          <w:rPr>
            <w:sz w:val="20"/>
            <w:color w:val="0000ff"/>
          </w:rPr>
          <w:t xml:space="preserve">приложениях N 3</w:t>
        </w:r>
      </w:hyperlink>
      <w:r>
        <w:rPr>
          <w:sz w:val="20"/>
        </w:rPr>
        <w:t xml:space="preserve"> и </w:t>
      </w:r>
      <w:hyperlink w:history="0" w:anchor="P7853"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государственной программы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p>
      <w:pPr>
        <w:pStyle w:val="2"/>
        <w:outlineLvl w:val="1"/>
        <w:jc w:val="center"/>
      </w:pPr>
      <w:r>
        <w:rPr>
          <w:sz w:val="20"/>
        </w:rPr>
        <w:t xml:space="preserve">VI. Анализ рисков реализации государственной программы</w:t>
      </w:r>
    </w:p>
    <w:p>
      <w:pPr>
        <w:pStyle w:val="2"/>
        <w:jc w:val="center"/>
      </w:pPr>
      <w:r>
        <w:rPr>
          <w:sz w:val="20"/>
        </w:rPr>
        <w:t xml:space="preserve">и описание мер управления рисками реализации</w:t>
      </w:r>
    </w:p>
    <w:p>
      <w:pPr>
        <w:pStyle w:val="2"/>
        <w:jc w:val="center"/>
      </w:pPr>
      <w:r>
        <w:rPr>
          <w:sz w:val="20"/>
        </w:rPr>
        <w:t xml:space="preserve">государственной программы</w:t>
      </w:r>
    </w:p>
    <w:p>
      <w:pPr>
        <w:pStyle w:val="0"/>
        <w:jc w:val="both"/>
      </w:pPr>
      <w:r>
        <w:rPr>
          <w:sz w:val="20"/>
        </w:rPr>
      </w:r>
    </w:p>
    <w:p>
      <w:pPr>
        <w:pStyle w:val="0"/>
        <w:ind w:firstLine="540"/>
        <w:jc w:val="both"/>
      </w:pPr>
      <w:r>
        <w:rPr>
          <w:sz w:val="20"/>
        </w:rPr>
        <w:t xml:space="preserve">В рамках реализации государственной программы могут быть выделены следующие риски ее реализации, актуальные для всех подпрограмм государственной программы.</w:t>
      </w:r>
    </w:p>
    <w:p>
      <w:pPr>
        <w:pStyle w:val="0"/>
        <w:spacing w:before="200" w:line-rule="auto"/>
        <w:ind w:firstLine="540"/>
        <w:jc w:val="both"/>
      </w:pPr>
      <w:r>
        <w:rPr>
          <w:sz w:val="20"/>
        </w:rPr>
        <w:t xml:space="preserve">Законодательные риски связаны с отказом от перехода на новую систему нормирования и принципов наилучших доступных технологий, а также задержкой внесения соответствующих изменений в действующее законодательство, что негативно отразится на достижении целевых значений индикаторов государственной программы, в том числе показателя отношения уловленных и обезвреженных вредных (загрязняющих) веществ к выбросам в атмосферный воздух вредных (загрязняющих) веществ от стационарных источников.</w:t>
      </w:r>
    </w:p>
    <w:p>
      <w:pPr>
        <w:pStyle w:val="0"/>
        <w:spacing w:before="200" w:line-rule="auto"/>
        <w:ind w:firstLine="540"/>
        <w:jc w:val="both"/>
      </w:pPr>
      <w:r>
        <w:rPr>
          <w:sz w:val="20"/>
        </w:rPr>
        <w:t xml:space="preserve">Минимизация влияния указанных рисков основана на интеграции механизмов развития государственного регулирования и иных мероприятий в рамках инструмента государственных программ. В рамках реализации государственной программы планируется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 а также проводить мониторинг планируемых изменений в федеральном законодательстве.</w:t>
      </w:r>
    </w:p>
    <w:p>
      <w:pPr>
        <w:pStyle w:val="0"/>
        <w:spacing w:before="200" w:line-rule="auto"/>
        <w:ind w:firstLine="540"/>
        <w:jc w:val="both"/>
      </w:pPr>
      <w:r>
        <w:rPr>
          <w:sz w:val="20"/>
        </w:rPr>
        <w:t xml:space="preserve">Финансовые риски связаны с увеличением бюджетного дефицита и вследствие этого недостаточным уровнем бюджетного финансирования. В случае невыделения дополнительных ресурсов на реализацию мероприятий государственной программы (в том числе на реализацию практических работ по ликвидации прошлого экологического ущерба, реализацию инвестиционных проектов по снижению выбросов вредных (загрязняющих) веществ в атмосферный воздух, переработке и использованию отходов производства и потребления) значения показателей (индикаторов) государственной программы будут существенно ниже оптимальных (в том числе предусмотренных Стратегией).</w:t>
      </w:r>
    </w:p>
    <w:p>
      <w:pPr>
        <w:pStyle w:val="0"/>
        <w:spacing w:before="200" w:line-rule="auto"/>
        <w:ind w:firstLine="540"/>
        <w:jc w:val="both"/>
      </w:pPr>
      <w:r>
        <w:rPr>
          <w:sz w:val="20"/>
        </w:rPr>
        <w:t xml:space="preserve">Возникновение данных рисков может привести к сокращению объемов финансирования запланированных мероприятий, прекращению финансирования ряда мероприятий и, как следствие, выполнению не в полном объеме или невыполнению как непосредственных, так и конечных результатов государственной программы.</w:t>
      </w:r>
    </w:p>
    <w:p>
      <w:pPr>
        <w:pStyle w:val="0"/>
        <w:spacing w:before="200" w:line-rule="auto"/>
        <w:ind w:firstLine="540"/>
        <w:jc w:val="both"/>
      </w:pPr>
      <w:r>
        <w:rPr>
          <w:sz w:val="20"/>
        </w:rPr>
        <w:t xml:space="preserve">Способами ограничения финансовых рисков выступают следующие меры:</w:t>
      </w:r>
    </w:p>
    <w:p>
      <w:pPr>
        <w:pStyle w:val="0"/>
        <w:spacing w:before="200" w:line-rule="auto"/>
        <w:ind w:firstLine="540"/>
        <w:jc w:val="both"/>
      </w:pPr>
      <w:r>
        <w:rPr>
          <w:sz w:val="20"/>
        </w:rPr>
        <w:t xml:space="preserve">- ежегодное уточнение объемов финансовых средств, предусмотренных на реализацию мероприятий государственной программы, в зависимости от достигнутых результатов;</w:t>
      </w:r>
    </w:p>
    <w:p>
      <w:pPr>
        <w:pStyle w:val="0"/>
        <w:spacing w:before="200" w:line-rule="auto"/>
        <w:ind w:firstLine="540"/>
        <w:jc w:val="both"/>
      </w:pPr>
      <w:r>
        <w:rPr>
          <w:sz w:val="20"/>
        </w:rPr>
        <w:t xml:space="preserve">- определение приоритетов для первоочередного финансирования расходов;</w:t>
      </w:r>
    </w:p>
    <w:p>
      <w:pPr>
        <w:pStyle w:val="0"/>
        <w:spacing w:before="200" w:line-rule="auto"/>
        <w:ind w:firstLine="540"/>
        <w:jc w:val="both"/>
      </w:pPr>
      <w:r>
        <w:rPr>
          <w:sz w:val="20"/>
        </w:rPr>
        <w:t xml:space="preserve">- планирование бюджетных расходов с применением методик оценки эффективности бюджетных расходов.</w:t>
      </w:r>
    </w:p>
    <w:p>
      <w:pPr>
        <w:pStyle w:val="0"/>
        <w:spacing w:before="200" w:line-rule="auto"/>
        <w:ind w:firstLine="540"/>
        <w:jc w:val="both"/>
      </w:pPr>
      <w:r>
        <w:rPr>
          <w:sz w:val="20"/>
        </w:rPr>
        <w:t xml:space="preserve">Минимизация данных рисков предусматривается путем привлечения внебюджетных источников финансирования для реализации мероприятий государственной программы, применение механизмов государственно-частного партнерства.</w:t>
      </w:r>
    </w:p>
    <w:p>
      <w:pPr>
        <w:pStyle w:val="0"/>
        <w:spacing w:before="200" w:line-rule="auto"/>
        <w:ind w:firstLine="540"/>
        <w:jc w:val="both"/>
      </w:pPr>
      <w:r>
        <w:rPr>
          <w:sz w:val="20"/>
        </w:rPr>
        <w:t xml:space="preserve">Техногенные и экологические риски связаны с тем, что любая крупная природная, технологическая или экологическая катастрофа, вероятность которой полностью исключать нельзя, потребует дополнительных ресурсов по ликвидации ее последствий, что может негативно сказаться на реализации государственной программы.</w:t>
      </w:r>
    </w:p>
    <w:p>
      <w:pPr>
        <w:pStyle w:val="0"/>
        <w:spacing w:before="200" w:line-rule="auto"/>
        <w:ind w:firstLine="540"/>
        <w:jc w:val="both"/>
      </w:pPr>
      <w:r>
        <w:rPr>
          <w:sz w:val="20"/>
        </w:rPr>
        <w:t xml:space="preserve">Влияние риска будет минимизировано путем проведения промышленных экспериментов, организации поэтапного перехода к использованию принципов наилучших доступных технологий. Частично данный риск может быть минимизирован за счет принятия мер по совершенствованию государственного регулирования, в том числе по установлению ответственности за ликвидацию последствий разливов нефти и нефтепродуктов.</w:t>
      </w:r>
    </w:p>
    <w:p>
      <w:pPr>
        <w:pStyle w:val="0"/>
        <w:spacing w:before="200" w:line-rule="auto"/>
        <w:ind w:firstLine="540"/>
        <w:jc w:val="both"/>
      </w:pPr>
      <w:r>
        <w:rPr>
          <w:sz w:val="20"/>
        </w:rPr>
        <w:t xml:space="preserve">Климатические риски связаны со срывом проведения проектных природоохранных мероприятий на неопределенный срок, возникновением экстремальных природных ситуаций (угрозы наводнений, высокой горимости лесов и др.), вспышками массового размножения и распространения вредных насекомых и болезней.</w:t>
      </w:r>
    </w:p>
    <w:p>
      <w:pPr>
        <w:pStyle w:val="0"/>
        <w:spacing w:before="200" w:line-rule="auto"/>
        <w:ind w:firstLine="540"/>
        <w:jc w:val="both"/>
      </w:pPr>
      <w:r>
        <w:rPr>
          <w:sz w:val="20"/>
        </w:rPr>
        <w:t xml:space="preserve">Влияние риска может быть ограничено применением мер экстренного реагирования, проведением санитарно-оздоровительных мероприятий, ведением экологического мониторинга и развитием института проектного планирования.</w:t>
      </w:r>
    </w:p>
    <w:p>
      <w:pPr>
        <w:pStyle w:val="0"/>
        <w:jc w:val="both"/>
      </w:pPr>
      <w:r>
        <w:rPr>
          <w:sz w:val="20"/>
        </w:rPr>
      </w:r>
    </w:p>
    <w:bookmarkStart w:id="554" w:name="P554"/>
    <w:bookmarkEnd w:id="554"/>
    <w:p>
      <w:pPr>
        <w:pStyle w:val="2"/>
        <w:outlineLvl w:val="1"/>
        <w:jc w:val="center"/>
      </w:pPr>
      <w:r>
        <w:rPr>
          <w:sz w:val="20"/>
        </w:rPr>
        <w:t xml:space="preserve">Паспорт</w:t>
      </w:r>
    </w:p>
    <w:p>
      <w:pPr>
        <w:pStyle w:val="2"/>
        <w:jc w:val="center"/>
      </w:pPr>
      <w:r>
        <w:rPr>
          <w:sz w:val="20"/>
        </w:rPr>
        <w:t xml:space="preserve">подпрограммы 1 "Развитие лесного хозяйства"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pPr>
            <w:r>
              <w:rPr>
                <w:sz w:val="20"/>
              </w:rPr>
              <w:t xml:space="preserve">N п/п</w:t>
            </w:r>
          </w:p>
        </w:tc>
        <w:tc>
          <w:tcPr>
            <w:gridSpan w:val="2"/>
            <w:tcW w:w="8560" w:type="dxa"/>
          </w:tcPr>
          <w:p>
            <w:pPr>
              <w:pStyle w:val="0"/>
              <w:jc w:val="both"/>
            </w:pPr>
            <w:r>
              <w:rPr>
                <w:sz w:val="20"/>
              </w:rPr>
              <w:t xml:space="preserve">Наименование подпрограммы: "Развитие лесного хозяйства" (далее - подпрограмма 1)</w:t>
            </w:r>
          </w:p>
        </w:tc>
      </w:tr>
      <w:tr>
        <w:tblPrEx>
          <w:tblBorders>
            <w:insideH w:val="nil"/>
          </w:tblBorders>
        </w:tblPrEx>
        <w:tc>
          <w:tcPr>
            <w:tcW w:w="454" w:type="dxa"/>
            <w:tcBorders>
              <w:bottom w:val="nil"/>
            </w:tcBorders>
          </w:tcPr>
          <w:p>
            <w:pPr>
              <w:pStyle w:val="0"/>
            </w:pPr>
            <w:r>
              <w:rPr>
                <w:sz w:val="20"/>
              </w:rPr>
              <w:t xml:space="preserve">1</w:t>
            </w:r>
          </w:p>
        </w:tc>
        <w:tc>
          <w:tcPr>
            <w:tcW w:w="2324" w:type="dxa"/>
            <w:tcBorders>
              <w:bottom w:val="nil"/>
            </w:tcBorders>
          </w:tcPr>
          <w:p>
            <w:pPr>
              <w:pStyle w:val="0"/>
            </w:pPr>
            <w:r>
              <w:rPr>
                <w:sz w:val="20"/>
              </w:rPr>
              <w:t xml:space="preserve">Соисполнитель</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постановлений Правительства Белгородской области от 20.07.2020 </w:t>
            </w:r>
            <w:hyperlink w:history="0" r:id="rId7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rPr>
              <w:t xml:space="preserve">, от 17.01.2022 </w:t>
            </w:r>
            <w:hyperlink w:history="0" r:id="rId75"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rPr>
              <w:t xml:space="preserve">)</w:t>
            </w:r>
          </w:p>
        </w:tc>
      </w:tr>
      <w:tr>
        <w:tblPrEx>
          <w:tblBorders>
            <w:insideH w:val="nil"/>
          </w:tblBorders>
        </w:tblPrEx>
        <w:tc>
          <w:tcPr>
            <w:tcW w:w="454" w:type="dxa"/>
            <w:tcBorders>
              <w:bottom w:val="nil"/>
            </w:tcBorders>
          </w:tcPr>
          <w:p>
            <w:pPr>
              <w:pStyle w:val="0"/>
            </w:pPr>
            <w:r>
              <w:rPr>
                <w:sz w:val="20"/>
              </w:rPr>
              <w:t xml:space="preserve">2</w:t>
            </w:r>
          </w:p>
        </w:tc>
        <w:tc>
          <w:tcPr>
            <w:tcW w:w="2324" w:type="dxa"/>
            <w:tcBorders>
              <w:bottom w:val="nil"/>
            </w:tcBorders>
          </w:tcPr>
          <w:p>
            <w:pPr>
              <w:pStyle w:val="0"/>
            </w:pPr>
            <w:r>
              <w:rPr>
                <w:sz w:val="20"/>
              </w:rPr>
              <w:t xml:space="preserve">Участники подпрограммы 1</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постановлений Правительства Белгородской области от 20.07.2020 </w:t>
            </w:r>
            <w:hyperlink w:history="0" r:id="rId76"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rPr>
              <w:t xml:space="preserve">, от 17.01.2022 </w:t>
            </w:r>
            <w:hyperlink w:history="0" r:id="rId7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rPr>
              <w:t xml:space="preserve">)</w:t>
            </w:r>
          </w:p>
        </w:tc>
      </w:tr>
      <w:tr>
        <w:tc>
          <w:tcPr>
            <w:tcW w:w="454" w:type="dxa"/>
          </w:tcPr>
          <w:p>
            <w:pPr>
              <w:pStyle w:val="0"/>
            </w:pPr>
            <w:r>
              <w:rPr>
                <w:sz w:val="20"/>
              </w:rPr>
              <w:t xml:space="preserve">3</w:t>
            </w:r>
          </w:p>
        </w:tc>
        <w:tc>
          <w:tcPr>
            <w:tcW w:w="2324" w:type="dxa"/>
          </w:tcPr>
          <w:p>
            <w:pPr>
              <w:pStyle w:val="0"/>
            </w:pPr>
            <w:r>
              <w:rPr>
                <w:sz w:val="20"/>
              </w:rPr>
              <w:t xml:space="preserve">Цель подпрограммы 1</w:t>
            </w:r>
          </w:p>
        </w:tc>
        <w:tc>
          <w:tcPr>
            <w:tcW w:w="6236" w:type="dxa"/>
          </w:tcPr>
          <w:p>
            <w:pPr>
              <w:pStyle w:val="0"/>
              <w:jc w:val="both"/>
            </w:pPr>
            <w:r>
              <w:rPr>
                <w:sz w:val="20"/>
              </w:rPr>
              <w:t xml:space="preserve">Повышение эффективности использования, охраны, защиты и воспроизводства лесов</w:t>
            </w:r>
          </w:p>
        </w:tc>
      </w:tr>
      <w:tr>
        <w:tc>
          <w:tcPr>
            <w:tcW w:w="454" w:type="dxa"/>
          </w:tcPr>
          <w:p>
            <w:pPr>
              <w:pStyle w:val="0"/>
            </w:pPr>
            <w:r>
              <w:rPr>
                <w:sz w:val="20"/>
              </w:rPr>
              <w:t xml:space="preserve">4</w:t>
            </w:r>
          </w:p>
        </w:tc>
        <w:tc>
          <w:tcPr>
            <w:tcW w:w="2324" w:type="dxa"/>
          </w:tcPr>
          <w:p>
            <w:pPr>
              <w:pStyle w:val="0"/>
            </w:pPr>
            <w:r>
              <w:rPr>
                <w:sz w:val="20"/>
              </w:rPr>
              <w:t xml:space="preserve">Задачи подпрограммы 1</w:t>
            </w:r>
          </w:p>
        </w:tc>
        <w:tc>
          <w:tcPr>
            <w:tcW w:w="6236" w:type="dxa"/>
          </w:tcPr>
          <w:p>
            <w:pPr>
              <w:pStyle w:val="0"/>
              <w:jc w:val="both"/>
            </w:pPr>
            <w:r>
              <w:rPr>
                <w:sz w:val="20"/>
              </w:rPr>
              <w:t xml:space="preserve">1. Сокращение потерь лесного хозяйства от пожаров, вредных организмов и незаконных рубок.</w:t>
            </w:r>
          </w:p>
          <w:p>
            <w:pPr>
              <w:pStyle w:val="0"/>
              <w:jc w:val="both"/>
            </w:pPr>
            <w:r>
              <w:rPr>
                <w:sz w:val="20"/>
              </w:rPr>
              <w:t xml:space="preserve">2. Повышение эффективности использования, охраны, защиты и воспроизводства лесов.</w:t>
            </w:r>
          </w:p>
          <w:p>
            <w:pPr>
              <w:pStyle w:val="0"/>
              <w:jc w:val="both"/>
            </w:pPr>
            <w:r>
              <w:rPr>
                <w:sz w:val="20"/>
              </w:rPr>
              <w:t xml:space="preserve">3. Создание условий для рационального и интенсивного использования лесов при сохранении их экологических функций и биологического разнообразия.</w:t>
            </w:r>
          </w:p>
          <w:p>
            <w:pPr>
              <w:pStyle w:val="0"/>
              <w:jc w:val="both"/>
            </w:pPr>
            <w:r>
              <w:rPr>
                <w:sz w:val="20"/>
              </w:rPr>
              <w:t xml:space="preserve">4. Сокращение лесных пожаров, возникших по вине граждан.</w:t>
            </w:r>
          </w:p>
          <w:p>
            <w:pPr>
              <w:pStyle w:val="0"/>
              <w:jc w:val="both"/>
            </w:pPr>
            <w:r>
              <w:rPr>
                <w:sz w:val="20"/>
              </w:rPr>
              <w:t xml:space="preserve">5. Увеличение площади, покрытой лесами.</w:t>
            </w:r>
          </w:p>
          <w:p>
            <w:pPr>
              <w:pStyle w:val="0"/>
              <w:jc w:val="both"/>
            </w:pPr>
            <w:r>
              <w:rPr>
                <w:sz w:val="20"/>
              </w:rPr>
              <w:t xml:space="preserve">6. Обеспечение баланса выбытия и воспроизводства лесов</w:t>
            </w:r>
          </w:p>
        </w:tc>
      </w:tr>
      <w:tr>
        <w:tc>
          <w:tcPr>
            <w:tcW w:w="454" w:type="dxa"/>
          </w:tcPr>
          <w:p>
            <w:pPr>
              <w:pStyle w:val="0"/>
            </w:pPr>
            <w:r>
              <w:rPr>
                <w:sz w:val="20"/>
              </w:rPr>
              <w:t xml:space="preserve">5</w:t>
            </w:r>
          </w:p>
        </w:tc>
        <w:tc>
          <w:tcPr>
            <w:tcW w:w="2324" w:type="dxa"/>
          </w:tcPr>
          <w:p>
            <w:pPr>
              <w:pStyle w:val="0"/>
            </w:pPr>
            <w:r>
              <w:rPr>
                <w:sz w:val="20"/>
              </w:rPr>
              <w:t xml:space="preserve">Сроки и этапы реализации подпрограммы 1</w:t>
            </w:r>
          </w:p>
        </w:tc>
        <w:tc>
          <w:tcPr>
            <w:tcW w:w="6236" w:type="dxa"/>
          </w:tcPr>
          <w:p>
            <w:pPr>
              <w:pStyle w:val="0"/>
              <w:jc w:val="both"/>
            </w:pPr>
            <w:r>
              <w:rPr>
                <w:sz w:val="20"/>
              </w:rPr>
              <w:t xml:space="preserve">Реализация подпрограммы 1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pPr>
            <w:r>
              <w:rPr>
                <w:sz w:val="20"/>
              </w:rPr>
              <w:t xml:space="preserve">6</w:t>
            </w:r>
          </w:p>
        </w:tc>
        <w:tc>
          <w:tcPr>
            <w:tcW w:w="2324" w:type="dxa"/>
            <w:tcBorders>
              <w:bottom w:val="nil"/>
            </w:tcBorders>
          </w:tcPr>
          <w:p>
            <w:pPr>
              <w:pStyle w:val="0"/>
            </w:pPr>
            <w:r>
              <w:rPr>
                <w:sz w:val="20"/>
              </w:rPr>
              <w:t xml:space="preserve">Объем бюджетных ассигнований подпрограммы 1 за счет средств областного бюджета (с расшифровкой плановых объемов бюджетных ассигнований по годам ее реализации)</w:t>
            </w:r>
          </w:p>
        </w:tc>
        <w:tc>
          <w:tcPr>
            <w:tcW w:w="6236" w:type="dxa"/>
            <w:tcBorders>
              <w:bottom w:val="nil"/>
            </w:tcBorders>
          </w:tcPr>
          <w:p>
            <w:pPr>
              <w:pStyle w:val="0"/>
              <w:jc w:val="both"/>
            </w:pPr>
            <w:r>
              <w:rPr>
                <w:sz w:val="20"/>
              </w:rPr>
              <w:t xml:space="preserve">Общий объем бюджетных ассигнований программы 1 в 2014 - 2025 годах - 3576026,4 тыс. рублей, в том числе:</w:t>
            </w:r>
          </w:p>
          <w:p>
            <w:pPr>
              <w:pStyle w:val="0"/>
              <w:jc w:val="both"/>
            </w:pPr>
            <w:r>
              <w:rPr>
                <w:sz w:val="20"/>
              </w:rPr>
              <w:t xml:space="preserve">за счет средств федерального бюджета - 1349397,4 тыс. рублей;</w:t>
            </w:r>
          </w:p>
          <w:p>
            <w:pPr>
              <w:pStyle w:val="0"/>
              <w:jc w:val="both"/>
            </w:pPr>
            <w:r>
              <w:rPr>
                <w:sz w:val="20"/>
              </w:rPr>
              <w:t xml:space="preserve">за счет средств областного бюджета - 2226629,0 тыс. рублей, в том числе по годам:</w:t>
            </w:r>
          </w:p>
          <w:p>
            <w:pPr>
              <w:pStyle w:val="0"/>
              <w:jc w:val="both"/>
            </w:pPr>
            <w:r>
              <w:rPr>
                <w:sz w:val="20"/>
              </w:rPr>
              <w:t xml:space="preserve">2014 год - 144930,0 тыс. рублей;</w:t>
            </w:r>
          </w:p>
          <w:p>
            <w:pPr>
              <w:pStyle w:val="0"/>
              <w:jc w:val="both"/>
            </w:pPr>
            <w:r>
              <w:rPr>
                <w:sz w:val="20"/>
              </w:rPr>
              <w:t xml:space="preserve">2015 год - 134056,0 тыс. рублей;</w:t>
            </w:r>
          </w:p>
          <w:p>
            <w:pPr>
              <w:pStyle w:val="0"/>
              <w:jc w:val="both"/>
            </w:pPr>
            <w:r>
              <w:rPr>
                <w:sz w:val="20"/>
              </w:rPr>
              <w:t xml:space="preserve">2016 год - 156506,0 тыс. рублей;</w:t>
            </w:r>
          </w:p>
          <w:p>
            <w:pPr>
              <w:pStyle w:val="0"/>
              <w:jc w:val="both"/>
            </w:pPr>
            <w:r>
              <w:rPr>
                <w:sz w:val="20"/>
              </w:rPr>
              <w:t xml:space="preserve">2017 год - 144304,0 тыс. рублей;</w:t>
            </w:r>
          </w:p>
          <w:p>
            <w:pPr>
              <w:pStyle w:val="0"/>
              <w:jc w:val="both"/>
            </w:pPr>
            <w:r>
              <w:rPr>
                <w:sz w:val="20"/>
              </w:rPr>
              <w:t xml:space="preserve">2018 год - 156868,0 тыс. рублей;</w:t>
            </w:r>
          </w:p>
          <w:p>
            <w:pPr>
              <w:pStyle w:val="0"/>
              <w:jc w:val="both"/>
            </w:pPr>
            <w:r>
              <w:rPr>
                <w:sz w:val="20"/>
              </w:rPr>
              <w:t xml:space="preserve">2019 год - 154095,0 тыс. рублей;</w:t>
            </w:r>
          </w:p>
          <w:p>
            <w:pPr>
              <w:pStyle w:val="0"/>
              <w:jc w:val="both"/>
            </w:pPr>
            <w:r>
              <w:rPr>
                <w:sz w:val="20"/>
              </w:rPr>
              <w:t xml:space="preserve">2020 год - 205200,0 тыс. рублей;</w:t>
            </w:r>
          </w:p>
          <w:p>
            <w:pPr>
              <w:pStyle w:val="0"/>
              <w:jc w:val="both"/>
            </w:pPr>
            <w:r>
              <w:rPr>
                <w:sz w:val="20"/>
              </w:rPr>
              <w:t xml:space="preserve">2021 год - 177292,2 тыс. рублей;</w:t>
            </w:r>
          </w:p>
          <w:p>
            <w:pPr>
              <w:pStyle w:val="0"/>
              <w:jc w:val="both"/>
            </w:pPr>
            <w:r>
              <w:rPr>
                <w:sz w:val="20"/>
              </w:rPr>
              <w:t xml:space="preserve">2022 год - 236652,9 тыс. рублей;</w:t>
            </w:r>
          </w:p>
          <w:p>
            <w:pPr>
              <w:pStyle w:val="0"/>
              <w:jc w:val="both"/>
            </w:pPr>
            <w:r>
              <w:rPr>
                <w:sz w:val="20"/>
              </w:rPr>
              <w:t xml:space="preserve">2023 год - 226536,1 тыс. рублей;</w:t>
            </w:r>
          </w:p>
          <w:p>
            <w:pPr>
              <w:pStyle w:val="0"/>
              <w:jc w:val="both"/>
            </w:pPr>
            <w:r>
              <w:rPr>
                <w:sz w:val="20"/>
              </w:rPr>
              <w:t xml:space="preserve">2024 год - 240881,6 тыс. рублей;</w:t>
            </w:r>
          </w:p>
          <w:p>
            <w:pPr>
              <w:pStyle w:val="0"/>
              <w:jc w:val="both"/>
            </w:pPr>
            <w:r>
              <w:rPr>
                <w:sz w:val="20"/>
              </w:rPr>
              <w:t xml:space="preserve">2025 год - 249307,2 тыс.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7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pPr>
            <w:r>
              <w:rPr>
                <w:sz w:val="20"/>
              </w:rPr>
              <w:t xml:space="preserve">7</w:t>
            </w:r>
          </w:p>
        </w:tc>
        <w:tc>
          <w:tcPr>
            <w:tcW w:w="2324" w:type="dxa"/>
          </w:tcPr>
          <w:p>
            <w:pPr>
              <w:pStyle w:val="0"/>
            </w:pPr>
            <w:r>
              <w:rPr>
                <w:sz w:val="20"/>
              </w:rPr>
              <w:t xml:space="preserve">Конечные результаты реализации подпрограммы 1</w:t>
            </w:r>
          </w:p>
        </w:tc>
        <w:tc>
          <w:tcPr>
            <w:tcW w:w="6236" w:type="dxa"/>
          </w:tcPr>
          <w:p>
            <w:pPr>
              <w:pStyle w:val="0"/>
              <w:jc w:val="both"/>
            </w:pPr>
            <w:r>
              <w:rPr>
                <w:sz w:val="20"/>
              </w:rPr>
              <w:t xml:space="preserve">К концу 2025 года планируется достижение следующих результатов:</w:t>
            </w:r>
          </w:p>
          <w:p>
            <w:pPr>
              <w:pStyle w:val="0"/>
              <w:jc w:val="both"/>
            </w:pPr>
            <w:r>
              <w:rPr>
                <w:sz w:val="20"/>
              </w:rPr>
              <w:t xml:space="preserve">1. Уменьшение доли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до 0,083 процента.</w:t>
            </w:r>
          </w:p>
          <w:p>
            <w:pPr>
              <w:pStyle w:val="0"/>
              <w:jc w:val="both"/>
            </w:pPr>
            <w:r>
              <w:rPr>
                <w:sz w:val="20"/>
              </w:rPr>
              <w:t xml:space="preserve">2. Увеличение объема платежей в бюджетные системы Российской Федерации от использования лесов, расположенных на землях лесного фонда, в расчете на 1 га земель лесного фонда до 72,2 руб./га.</w:t>
            </w:r>
          </w:p>
          <w:p>
            <w:pPr>
              <w:pStyle w:val="0"/>
              <w:jc w:val="both"/>
            </w:pPr>
            <w:r>
              <w:rPr>
                <w:sz w:val="20"/>
              </w:rPr>
              <w:t xml:space="preserve">3. Сохранение лесистости на территории Белгородской области на уровне до 8,7 процента</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1,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Подпрограмма 1 "Развитие лесного хозяйства" определяет цели, задачи и основные направления развития лесного хозяйства в сфере использования, охраны, защиты и воспроизводства лесов области, ресурсного и научно-технического обеспечения, механизмы реализации мероприятий подпрограммы и показатели оценки их результативности.</w:t>
      </w:r>
    </w:p>
    <w:p>
      <w:pPr>
        <w:pStyle w:val="0"/>
        <w:spacing w:before="200" w:line-rule="auto"/>
        <w:ind w:firstLine="540"/>
        <w:jc w:val="both"/>
      </w:pPr>
      <w:r>
        <w:rPr>
          <w:sz w:val="20"/>
        </w:rPr>
        <w:t xml:space="preserve">Мероприятия подпрограммы 1 направлены на формирование условий социально-экономического развития области в части обеспечения инновационного уровня использования, охраны, защиты и воспроизводства лесов при безусловном сохранении их глобальной экологической значимости.</w:t>
      </w:r>
    </w:p>
    <w:p>
      <w:pPr>
        <w:pStyle w:val="0"/>
        <w:spacing w:before="200" w:line-rule="auto"/>
        <w:ind w:firstLine="540"/>
        <w:jc w:val="both"/>
      </w:pPr>
      <w:r>
        <w:rPr>
          <w:sz w:val="20"/>
        </w:rPr>
        <w:t xml:space="preserve">Леса являются одним из возобновляемых природных ресурсов, выполняют важнейшее средообразующее и средозащитные функции. Организация устойчивого управления лесами, их многоцелевое, неистощимое использование являются стратегически важной задачей.</w:t>
      </w:r>
    </w:p>
    <w:p>
      <w:pPr>
        <w:pStyle w:val="0"/>
        <w:spacing w:before="200" w:line-rule="auto"/>
        <w:ind w:firstLine="540"/>
        <w:jc w:val="both"/>
      </w:pPr>
      <w:r>
        <w:rPr>
          <w:sz w:val="20"/>
        </w:rPr>
        <w:t xml:space="preserve">Принятие Лесного </w:t>
      </w:r>
      <w:hyperlink w:history="0" r:id="rId79" w:tooltip="&quot;Лесной кодекс Российской Федерации&quot; от 04.12.2006 N 200-ФЗ (ред. от 28.04.2023) {КонсультантПлюс}">
        <w:r>
          <w:rPr>
            <w:sz w:val="20"/>
            <w:color w:val="0000ff"/>
          </w:rPr>
          <w:t xml:space="preserve">кодекса</w:t>
        </w:r>
      </w:hyperlink>
      <w:r>
        <w:rPr>
          <w:sz w:val="20"/>
        </w:rPr>
        <w:t xml:space="preserve"> Российской Федерации значительно расширило возможности для интенсификации использования лесов, внедрения рыночных механизмов в лесном хозяйстве. Вместе с тем передача отдельных полномочий Российской Федерации в области лесных отношений субъектам Российской Федерации обуславливает необходимость повышения эффективности использования лесов, снижение уровня их повреждения неблагоприятными факторами (прежде всего лесными пожарами), достижение требуемого качества работ по воспроизводству лесов и снижение объемов нелегального оборота древесины. Сегодня в лесном хозяйстве накопились проблемы, препятствующие повышению эффективности использования, охраны, защиты и воспроизводства лесов, улучшению их продуктивности и качества, сохранению экологических функций лесных насаждений и биологического разнообразия, что значительно снижает перспективы лесного комплекса.</w:t>
      </w:r>
    </w:p>
    <w:p>
      <w:pPr>
        <w:pStyle w:val="0"/>
        <w:spacing w:before="200" w:line-rule="auto"/>
        <w:ind w:firstLine="540"/>
        <w:jc w:val="both"/>
      </w:pPr>
      <w:r>
        <w:rPr>
          <w:sz w:val="20"/>
        </w:rPr>
        <w:t xml:space="preserve">К системным проблемам, сдерживающим эффективное лесоуправление, относятся также недостаточная точность оценки лесоресурсного потенциала, относительно низкий уровень использования современных информационных технологий в лесном хозяйстве.</w:t>
      </w:r>
    </w:p>
    <w:p>
      <w:pPr>
        <w:pStyle w:val="0"/>
        <w:spacing w:before="200" w:line-rule="auto"/>
        <w:ind w:firstLine="540"/>
        <w:jc w:val="both"/>
      </w:pPr>
      <w:r>
        <w:rPr>
          <w:sz w:val="20"/>
        </w:rPr>
        <w:t xml:space="preserve">В настоящее время около 66 процентов лесов области имеют давность лесоустройства более 10 лет (последнее лесоустройство проводилось в 1994 году). На указанных лесных землях требуется проведение мероприятий лесоустройства, а также инновационных разработок по актуализации таксационных и картографических баз данных. Необходимо обеспечить дальнейшее развитие государственного лесного реестра в целях актуализации его содержания и своевременного внесения в него изменений, связанных с использованием, воспроизводством, охранной и защитой лесов.</w:t>
      </w:r>
    </w:p>
    <w:p>
      <w:pPr>
        <w:pStyle w:val="0"/>
        <w:spacing w:before="200" w:line-rule="auto"/>
        <w:ind w:firstLine="540"/>
        <w:jc w:val="both"/>
      </w:pPr>
      <w:r>
        <w:rPr>
          <w:sz w:val="20"/>
        </w:rPr>
        <w:t xml:space="preserve">Модернизация и инновационное развитие лесного хозяйства не могут быть осуществлены без укрепления научного и кадрового потенциала.</w:t>
      </w:r>
    </w:p>
    <w:p>
      <w:pPr>
        <w:pStyle w:val="0"/>
        <w:spacing w:before="200" w:line-rule="auto"/>
        <w:ind w:firstLine="540"/>
        <w:jc w:val="both"/>
      </w:pPr>
      <w:r>
        <w:rPr>
          <w:sz w:val="20"/>
        </w:rPr>
        <w:t xml:space="preserve">Подпрограмма 1 обеспечит комплексное урегулирование наиболее острых и проблемных вопросов в сфере лесных отношений, системное развитие использования и воспроизводства лесов, создаст организационно-финансовые механизмы взаимоотношения, координации усилий и концентрации ресурсов экономики и построения эффективной системы управления лесами, развитие и использование научного потенциала научно-исследовательских учреждений, повышение качества переподготовки и повышения квалификации кадров.</w:t>
      </w:r>
    </w:p>
    <w:p>
      <w:pPr>
        <w:pStyle w:val="0"/>
        <w:spacing w:before="200" w:line-rule="auto"/>
        <w:ind w:firstLine="540"/>
        <w:jc w:val="both"/>
      </w:pPr>
      <w:r>
        <w:rPr>
          <w:sz w:val="20"/>
        </w:rPr>
        <w:t xml:space="preserve">На протяжении последнего десятилетия в основополагающих документах развития лесного сектора Российской Федерации определялись целевые установки и намечались пути решения задач с учетом существующей и прогнозной социально-экономической ситуации в стране.</w:t>
      </w:r>
    </w:p>
    <w:p>
      <w:pPr>
        <w:pStyle w:val="0"/>
        <w:spacing w:before="200" w:line-rule="auto"/>
        <w:ind w:firstLine="540"/>
        <w:jc w:val="both"/>
      </w:pPr>
      <w:r>
        <w:rPr>
          <w:sz w:val="20"/>
        </w:rPr>
        <w:t xml:space="preserve">В соответствии с </w:t>
      </w:r>
      <w:hyperlink w:history="0" r:id="rId80" w:tooltip="Распоряжение Правительства РФ от 17.11.2008 N 1662-р (ред. от 28.09.2018) &lt;О Концепции долгосрочного социально-экономического развития Российской Федерации на период до 2020 года&gt; (вместе с &quot;Концепцией долгосрочного социально-экономического развития Российской Федерации на период до 2020 года&quot;) {КонсультантПлюс}">
        <w:r>
          <w:rPr>
            <w:sz w:val="20"/>
            <w:color w:val="0000ff"/>
          </w:rPr>
          <w:t xml:space="preserve">Концепцией</w:t>
        </w:r>
      </w:hyperlink>
      <w:r>
        <w:rPr>
          <w:sz w:val="20"/>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определены следующие приоритетные направления развития лесного хозяйства:</w:t>
      </w:r>
    </w:p>
    <w:p>
      <w:pPr>
        <w:pStyle w:val="0"/>
        <w:spacing w:before="200" w:line-rule="auto"/>
        <w:ind w:firstLine="540"/>
        <w:jc w:val="both"/>
      </w:pPr>
      <w:r>
        <w:rPr>
          <w:sz w:val="20"/>
        </w:rPr>
        <w:t xml:space="preserve">- создание системы воспроизводства лесного фонда и восстановления лесов (в первую очередь в регионах, утративших экологический, рекреационный и лесохозяйственный потенциал);</w:t>
      </w:r>
    </w:p>
    <w:p>
      <w:pPr>
        <w:pStyle w:val="0"/>
        <w:spacing w:before="200" w:line-rule="auto"/>
        <w:ind w:firstLine="540"/>
        <w:jc w:val="both"/>
      </w:pPr>
      <w:r>
        <w:rPr>
          <w:sz w:val="20"/>
        </w:rPr>
        <w:t xml:space="preserve">- улучшение породного состава лесных насаждений, резкое сокращение незаконных рубок и теневого оборота древесины.</w:t>
      </w:r>
    </w:p>
    <w:p>
      <w:pPr>
        <w:pStyle w:val="0"/>
        <w:spacing w:before="200" w:line-rule="auto"/>
        <w:ind w:firstLine="540"/>
        <w:jc w:val="both"/>
      </w:pPr>
      <w:r>
        <w:rPr>
          <w:sz w:val="20"/>
        </w:rPr>
        <w:t xml:space="preserve">В Концепции долгосрочного развития Российской Федерации на период до 2020 года установлено, что развитие лесной транспортной инфраструктуры, включающее обеспечение экономической доступности лесных участков, повышение рентабельности заготовки древесины посредством строительства лесных дорог круглогодового действия и развития транзитных железнодорожных и автомобильных путей, позволит существенно увеличить объемы использования лесов. Предполагается, что к 2020 году доля использования расчетной лесосеки повысится до 50 процентов, а прогнозируемый рост производства и потребления продукции глубокой переработки древесины достигнет уровня государств - лидеров в сфере деятельности (США, Канады и др.).</w:t>
      </w:r>
    </w:p>
    <w:p>
      <w:pPr>
        <w:pStyle w:val="0"/>
        <w:spacing w:before="200" w:line-rule="auto"/>
        <w:ind w:firstLine="540"/>
        <w:jc w:val="both"/>
      </w:pPr>
      <w:r>
        <w:rPr>
          <w:sz w:val="20"/>
        </w:rPr>
        <w:t xml:space="preserve">Таким образом, приоритеты государственной политики в сфере лесных отношений определяют необходимость комплексного решения задач лесного хозяйства, направленных на обеспечение непрерывного, неистощимого, рационального и многоцелевого использования лесов с учетом их социально-экономического значения.</w:t>
      </w:r>
    </w:p>
    <w:p>
      <w:pPr>
        <w:pStyle w:val="0"/>
        <w:jc w:val="both"/>
      </w:pPr>
      <w:r>
        <w:rPr>
          <w:sz w:val="20"/>
        </w:rPr>
      </w:r>
    </w:p>
    <w:p>
      <w:pPr>
        <w:pStyle w:val="2"/>
        <w:outlineLvl w:val="2"/>
        <w:jc w:val="center"/>
      </w:pPr>
      <w:r>
        <w:rPr>
          <w:sz w:val="20"/>
        </w:rPr>
        <w:t xml:space="preserve">2. Цели, задачи, сроки и этапы реализации подпрограммы 1</w:t>
      </w:r>
    </w:p>
    <w:p>
      <w:pPr>
        <w:pStyle w:val="0"/>
        <w:jc w:val="both"/>
      </w:pPr>
      <w:r>
        <w:rPr>
          <w:sz w:val="20"/>
        </w:rPr>
      </w:r>
    </w:p>
    <w:p>
      <w:pPr>
        <w:pStyle w:val="0"/>
        <w:ind w:firstLine="540"/>
        <w:jc w:val="both"/>
      </w:pPr>
      <w:r>
        <w:rPr>
          <w:sz w:val="20"/>
        </w:rPr>
        <w:t xml:space="preserve">С учетом положений стратегических документов и приоритетных направлений государственной политики в области лесного хозяйства целью подпрограммы 1 является повышение эффективности использования, охраны, защиты и воспроизводства лесов.</w:t>
      </w:r>
    </w:p>
    <w:p>
      <w:pPr>
        <w:pStyle w:val="0"/>
        <w:spacing w:before="200" w:line-rule="auto"/>
        <w:ind w:firstLine="540"/>
        <w:jc w:val="both"/>
      </w:pPr>
      <w:r>
        <w:rPr>
          <w:sz w:val="20"/>
        </w:rPr>
        <w:t xml:space="preserve">Подпрограмма 1 предусматривает решение следующих основных задач:</w:t>
      </w:r>
    </w:p>
    <w:p>
      <w:pPr>
        <w:pStyle w:val="0"/>
        <w:spacing w:before="200" w:line-rule="auto"/>
        <w:ind w:firstLine="540"/>
        <w:jc w:val="both"/>
      </w:pPr>
      <w:r>
        <w:rPr>
          <w:sz w:val="20"/>
        </w:rPr>
        <w:t xml:space="preserve">- создание условий для рационального и интенсивного использования лесов при сохранении их экологических функций и биологического разнообразия;</w:t>
      </w:r>
    </w:p>
    <w:p>
      <w:pPr>
        <w:pStyle w:val="0"/>
        <w:spacing w:before="200" w:line-rule="auto"/>
        <w:ind w:firstLine="540"/>
        <w:jc w:val="both"/>
      </w:pPr>
      <w:r>
        <w:rPr>
          <w:sz w:val="20"/>
        </w:rPr>
        <w:t xml:space="preserve">- повышение эффективности использования, охраны, защиты и воспроизводства лесов;</w:t>
      </w:r>
    </w:p>
    <w:p>
      <w:pPr>
        <w:pStyle w:val="0"/>
        <w:spacing w:before="200" w:line-rule="auto"/>
        <w:ind w:firstLine="540"/>
        <w:jc w:val="both"/>
      </w:pPr>
      <w:r>
        <w:rPr>
          <w:sz w:val="20"/>
        </w:rPr>
        <w:t xml:space="preserve">- сокращение потерь лесного хозяйства от пожаров, вредных организмов и незаконных рубок;</w:t>
      </w:r>
    </w:p>
    <w:p>
      <w:pPr>
        <w:pStyle w:val="0"/>
        <w:spacing w:before="200" w:line-rule="auto"/>
        <w:ind w:firstLine="540"/>
        <w:jc w:val="both"/>
      </w:pPr>
      <w:r>
        <w:rPr>
          <w:sz w:val="20"/>
        </w:rPr>
        <w:t xml:space="preserve">- сокращение лесных пожаров, возникших по вине граждан;</w:t>
      </w:r>
    </w:p>
    <w:p>
      <w:pPr>
        <w:pStyle w:val="0"/>
        <w:spacing w:before="200" w:line-rule="auto"/>
        <w:ind w:firstLine="540"/>
        <w:jc w:val="both"/>
      </w:pPr>
      <w:r>
        <w:rPr>
          <w:sz w:val="20"/>
        </w:rPr>
        <w:t xml:space="preserve">- увеличение площади, покрытой лесами;</w:t>
      </w:r>
    </w:p>
    <w:p>
      <w:pPr>
        <w:pStyle w:val="0"/>
        <w:spacing w:before="200" w:line-rule="auto"/>
        <w:ind w:firstLine="540"/>
        <w:jc w:val="both"/>
      </w:pPr>
      <w:r>
        <w:rPr>
          <w:sz w:val="20"/>
        </w:rPr>
        <w:t xml:space="preserve">- обеспечение баланса выбытия и воспроизводства лесов.</w:t>
      </w:r>
    </w:p>
    <w:p>
      <w:pPr>
        <w:pStyle w:val="0"/>
        <w:spacing w:before="200" w:line-rule="auto"/>
        <w:ind w:firstLine="540"/>
        <w:jc w:val="both"/>
      </w:pPr>
      <w:r>
        <w:rPr>
          <w:sz w:val="20"/>
        </w:rPr>
        <w:t xml:space="preserve">Реализация подпрограммы 1 осуществляется в два этапа: 1 - 2014 - 2020 годы;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1</w:t>
      </w:r>
    </w:p>
    <w:p>
      <w:pPr>
        <w:pStyle w:val="0"/>
        <w:jc w:val="both"/>
      </w:pPr>
      <w:r>
        <w:rPr>
          <w:sz w:val="20"/>
        </w:rPr>
      </w:r>
    </w:p>
    <w:p>
      <w:pPr>
        <w:pStyle w:val="0"/>
        <w:ind w:firstLine="540"/>
        <w:jc w:val="both"/>
      </w:pPr>
      <w:r>
        <w:rPr>
          <w:sz w:val="20"/>
        </w:rPr>
        <w:t xml:space="preserve">Подпрограмма 1 обусловлена необходимостью реализации федеральной целевой программы "Развитие лесного хозяйства на 2013 - 2020 годы" и предусматривает развитие лесного комплекса области, обеспечение повышения эффективности использования, охраны, защиты и воспроизводства лесов.</w:t>
      </w:r>
    </w:p>
    <w:p>
      <w:pPr>
        <w:pStyle w:val="0"/>
        <w:spacing w:before="200" w:line-rule="auto"/>
        <w:ind w:firstLine="540"/>
        <w:jc w:val="both"/>
      </w:pPr>
      <w:r>
        <w:rPr>
          <w:sz w:val="20"/>
        </w:rPr>
        <w:t xml:space="preserve">Достижение поставленной цели и решение задач подпрограммы 1 осуществляются путем реализации основных мероприятий.</w:t>
      </w:r>
    </w:p>
    <w:p>
      <w:pPr>
        <w:pStyle w:val="0"/>
        <w:spacing w:before="200" w:line-rule="auto"/>
        <w:ind w:firstLine="540"/>
        <w:jc w:val="both"/>
      </w:pPr>
      <w:r>
        <w:rPr>
          <w:sz w:val="20"/>
        </w:rPr>
        <w:t xml:space="preserve">В рамках решения задачи 1 "Создание условий для рационального и интенсивного использования лесов при сохранении их экологических функций и биологического разнообразия" будет реализовано основное мероприятие 1.1 "Обеспечение функций органов власти Белгородской области, в том числе территориальных органов".</w:t>
      </w:r>
    </w:p>
    <w:p>
      <w:pPr>
        <w:pStyle w:val="0"/>
        <w:spacing w:before="200" w:line-rule="auto"/>
        <w:ind w:firstLine="540"/>
        <w:jc w:val="both"/>
      </w:pPr>
      <w:r>
        <w:rPr>
          <w:sz w:val="20"/>
        </w:rPr>
        <w:t xml:space="preserve">Реализация данного основного мероприятия направлена на создание современной, эффективной модели лесного хозяйства, которая будет соответствовать требованиям сегодняшнего дня, позволит сохранить и приумножить леса для будущих поколений.</w:t>
      </w:r>
    </w:p>
    <w:p>
      <w:pPr>
        <w:pStyle w:val="0"/>
        <w:spacing w:before="200" w:line-rule="auto"/>
        <w:ind w:firstLine="540"/>
        <w:jc w:val="both"/>
      </w:pPr>
      <w:r>
        <w:rPr>
          <w:sz w:val="20"/>
        </w:rPr>
        <w:t xml:space="preserve">В рамках решения задачи 2 "Повышение эффективности использования, охраны, защиты и воспроизводства лесов" будет реализовано основное мероприятие 1.2 "Обеспечение деятельности (оказание услуг) государственных учреждений (организаций)".</w:t>
      </w:r>
    </w:p>
    <w:p>
      <w:pPr>
        <w:pStyle w:val="0"/>
        <w:spacing w:before="200" w:line-rule="auto"/>
        <w:ind w:firstLine="540"/>
        <w:jc w:val="both"/>
      </w:pPr>
      <w:r>
        <w:rPr>
          <w:sz w:val="20"/>
        </w:rPr>
        <w:t xml:space="preserve">Лесной фонд области в соответствии со шкалой оценки природной пожарной опасности насаждений, разработанной академиком И.С.Мелеховым, дифференцирован на пять классов.</w:t>
      </w:r>
    </w:p>
    <w:p>
      <w:pPr>
        <w:pStyle w:val="0"/>
        <w:jc w:val="both"/>
      </w:pPr>
      <w:r>
        <w:rPr>
          <w:sz w:val="20"/>
        </w:rPr>
      </w:r>
    </w:p>
    <w:p>
      <w:pPr>
        <w:pStyle w:val="0"/>
        <w:outlineLvl w:val="3"/>
        <w:jc w:val="right"/>
      </w:pPr>
      <w:r>
        <w:rPr>
          <w:sz w:val="20"/>
        </w:rPr>
        <w:t xml:space="preserve">Таблица 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724"/>
        <w:gridCol w:w="724"/>
        <w:gridCol w:w="844"/>
        <w:gridCol w:w="724"/>
        <w:gridCol w:w="604"/>
        <w:gridCol w:w="1191"/>
        <w:gridCol w:w="1757"/>
      </w:tblGrid>
      <w:tr>
        <w:tc>
          <w:tcPr>
            <w:tcW w:w="2494" w:type="dxa"/>
            <w:vMerge w:val="restart"/>
          </w:tcPr>
          <w:p>
            <w:pPr>
              <w:pStyle w:val="0"/>
              <w:jc w:val="center"/>
            </w:pPr>
            <w:r>
              <w:rPr>
                <w:sz w:val="20"/>
              </w:rPr>
              <w:t xml:space="preserve">Субъект Российской Федерации</w:t>
            </w:r>
          </w:p>
        </w:tc>
        <w:tc>
          <w:tcPr>
            <w:gridSpan w:val="5"/>
            <w:tcW w:w="3620" w:type="dxa"/>
          </w:tcPr>
          <w:p>
            <w:pPr>
              <w:pStyle w:val="0"/>
              <w:jc w:val="center"/>
            </w:pPr>
            <w:r>
              <w:rPr>
                <w:sz w:val="20"/>
              </w:rPr>
              <w:t xml:space="preserve">Классы природной пожарной опасности</w:t>
            </w:r>
          </w:p>
        </w:tc>
        <w:tc>
          <w:tcPr>
            <w:tcW w:w="1191" w:type="dxa"/>
            <w:vMerge w:val="restart"/>
          </w:tcPr>
          <w:p>
            <w:pPr>
              <w:pStyle w:val="0"/>
              <w:jc w:val="center"/>
            </w:pPr>
            <w:r>
              <w:rPr>
                <w:sz w:val="20"/>
              </w:rPr>
              <w:t xml:space="preserve">Общая площадь, тыс. га</w:t>
            </w:r>
          </w:p>
        </w:tc>
        <w:tc>
          <w:tcPr>
            <w:tcW w:w="1757" w:type="dxa"/>
            <w:vMerge w:val="restart"/>
          </w:tcPr>
          <w:p>
            <w:pPr>
              <w:pStyle w:val="0"/>
              <w:jc w:val="center"/>
            </w:pPr>
            <w:r>
              <w:rPr>
                <w:sz w:val="20"/>
              </w:rPr>
              <w:t xml:space="preserve">Средний класс природной пожарной опасности</w:t>
            </w:r>
          </w:p>
        </w:tc>
      </w:tr>
      <w:tr>
        <w:tc>
          <w:tcPr>
            <w:vMerge w:val="continue"/>
          </w:tcPr>
          <w:p/>
        </w:tc>
        <w:tc>
          <w:tcPr>
            <w:tcW w:w="724" w:type="dxa"/>
          </w:tcPr>
          <w:p>
            <w:pPr>
              <w:pStyle w:val="0"/>
              <w:jc w:val="center"/>
            </w:pPr>
            <w:r>
              <w:rPr>
                <w:sz w:val="20"/>
              </w:rPr>
              <w:t xml:space="preserve">I</w:t>
            </w:r>
          </w:p>
        </w:tc>
        <w:tc>
          <w:tcPr>
            <w:tcW w:w="724" w:type="dxa"/>
          </w:tcPr>
          <w:p>
            <w:pPr>
              <w:pStyle w:val="0"/>
              <w:jc w:val="center"/>
            </w:pPr>
            <w:r>
              <w:rPr>
                <w:sz w:val="20"/>
              </w:rPr>
              <w:t xml:space="preserve">II</w:t>
            </w:r>
          </w:p>
        </w:tc>
        <w:tc>
          <w:tcPr>
            <w:tcW w:w="844" w:type="dxa"/>
          </w:tcPr>
          <w:p>
            <w:pPr>
              <w:pStyle w:val="0"/>
              <w:jc w:val="center"/>
            </w:pPr>
            <w:r>
              <w:rPr>
                <w:sz w:val="20"/>
              </w:rPr>
              <w:t xml:space="preserve">III</w:t>
            </w:r>
          </w:p>
        </w:tc>
        <w:tc>
          <w:tcPr>
            <w:tcW w:w="724" w:type="dxa"/>
          </w:tcPr>
          <w:p>
            <w:pPr>
              <w:pStyle w:val="0"/>
              <w:jc w:val="center"/>
            </w:pPr>
            <w:r>
              <w:rPr>
                <w:sz w:val="20"/>
              </w:rPr>
              <w:t xml:space="preserve">IV</w:t>
            </w:r>
          </w:p>
        </w:tc>
        <w:tc>
          <w:tcPr>
            <w:tcW w:w="604" w:type="dxa"/>
          </w:tcPr>
          <w:p>
            <w:pPr>
              <w:pStyle w:val="0"/>
              <w:jc w:val="center"/>
            </w:pPr>
            <w:r>
              <w:rPr>
                <w:sz w:val="20"/>
              </w:rPr>
              <w:t xml:space="preserve">V</w:t>
            </w:r>
          </w:p>
        </w:tc>
        <w:tc>
          <w:tcPr>
            <w:vMerge w:val="continue"/>
          </w:tcPr>
          <w:p/>
        </w:tc>
        <w:tc>
          <w:tcPr>
            <w:vMerge w:val="continue"/>
          </w:tcPr>
          <w:p/>
        </w:tc>
      </w:tr>
      <w:tr>
        <w:tc>
          <w:tcPr>
            <w:tcW w:w="2494" w:type="dxa"/>
          </w:tcPr>
          <w:p>
            <w:pPr>
              <w:pStyle w:val="0"/>
              <w:jc w:val="center"/>
            </w:pPr>
            <w:r>
              <w:rPr>
                <w:sz w:val="20"/>
              </w:rPr>
              <w:t xml:space="preserve">Белгородская область</w:t>
            </w:r>
          </w:p>
        </w:tc>
        <w:tc>
          <w:tcPr>
            <w:tcW w:w="724" w:type="dxa"/>
          </w:tcPr>
          <w:p>
            <w:pPr>
              <w:pStyle w:val="0"/>
              <w:jc w:val="center"/>
            </w:pPr>
            <w:r>
              <w:rPr>
                <w:sz w:val="20"/>
              </w:rPr>
              <w:t xml:space="preserve">17841</w:t>
            </w:r>
          </w:p>
        </w:tc>
        <w:tc>
          <w:tcPr>
            <w:tcW w:w="724" w:type="dxa"/>
          </w:tcPr>
          <w:p>
            <w:pPr>
              <w:pStyle w:val="0"/>
              <w:jc w:val="center"/>
            </w:pPr>
            <w:r>
              <w:rPr>
                <w:sz w:val="20"/>
              </w:rPr>
              <w:t xml:space="preserve">32444</w:t>
            </w:r>
          </w:p>
        </w:tc>
        <w:tc>
          <w:tcPr>
            <w:tcW w:w="844" w:type="dxa"/>
          </w:tcPr>
          <w:p>
            <w:pPr>
              <w:pStyle w:val="0"/>
              <w:jc w:val="center"/>
            </w:pPr>
            <w:r>
              <w:rPr>
                <w:sz w:val="20"/>
              </w:rPr>
              <w:t xml:space="preserve">160643</w:t>
            </w:r>
          </w:p>
        </w:tc>
        <w:tc>
          <w:tcPr>
            <w:tcW w:w="724" w:type="dxa"/>
          </w:tcPr>
          <w:p>
            <w:pPr>
              <w:pStyle w:val="0"/>
              <w:jc w:val="center"/>
            </w:pPr>
            <w:r>
              <w:rPr>
                <w:sz w:val="20"/>
              </w:rPr>
              <w:t xml:space="preserve">15221</w:t>
            </w:r>
          </w:p>
        </w:tc>
        <w:tc>
          <w:tcPr>
            <w:tcW w:w="604" w:type="dxa"/>
          </w:tcPr>
          <w:p>
            <w:pPr>
              <w:pStyle w:val="0"/>
              <w:jc w:val="center"/>
            </w:pPr>
            <w:r>
              <w:rPr>
                <w:sz w:val="20"/>
              </w:rPr>
              <w:t xml:space="preserve">3664</w:t>
            </w:r>
          </w:p>
        </w:tc>
        <w:tc>
          <w:tcPr>
            <w:tcW w:w="1191" w:type="dxa"/>
          </w:tcPr>
          <w:p>
            <w:pPr>
              <w:pStyle w:val="0"/>
              <w:jc w:val="center"/>
            </w:pPr>
            <w:r>
              <w:rPr>
                <w:sz w:val="20"/>
              </w:rPr>
              <w:t xml:space="preserve">229815</w:t>
            </w:r>
          </w:p>
        </w:tc>
        <w:tc>
          <w:tcPr>
            <w:tcW w:w="1757" w:type="dxa"/>
          </w:tcPr>
          <w:p>
            <w:pPr>
              <w:pStyle w:val="0"/>
              <w:jc w:val="center"/>
            </w:pPr>
            <w:r>
              <w:rPr>
                <w:sz w:val="20"/>
              </w:rPr>
              <w:t xml:space="preserve">2,8</w:t>
            </w:r>
          </w:p>
        </w:tc>
      </w:tr>
      <w:tr>
        <w:tc>
          <w:tcPr>
            <w:tcW w:w="2494" w:type="dxa"/>
          </w:tcPr>
          <w:p>
            <w:pPr>
              <w:pStyle w:val="0"/>
              <w:jc w:val="center"/>
            </w:pPr>
            <w:r>
              <w:rPr>
                <w:sz w:val="20"/>
              </w:rPr>
              <w:t xml:space="preserve">%</w:t>
            </w:r>
          </w:p>
        </w:tc>
        <w:tc>
          <w:tcPr>
            <w:tcW w:w="724" w:type="dxa"/>
          </w:tcPr>
          <w:p>
            <w:pPr>
              <w:pStyle w:val="0"/>
              <w:jc w:val="center"/>
            </w:pPr>
            <w:r>
              <w:rPr>
                <w:sz w:val="20"/>
              </w:rPr>
              <w:t xml:space="preserve">7,8</w:t>
            </w:r>
          </w:p>
        </w:tc>
        <w:tc>
          <w:tcPr>
            <w:tcW w:w="724" w:type="dxa"/>
          </w:tcPr>
          <w:p>
            <w:pPr>
              <w:pStyle w:val="0"/>
              <w:jc w:val="center"/>
            </w:pPr>
            <w:r>
              <w:rPr>
                <w:sz w:val="20"/>
              </w:rPr>
              <w:t xml:space="preserve">14,1</w:t>
            </w:r>
          </w:p>
        </w:tc>
        <w:tc>
          <w:tcPr>
            <w:tcW w:w="844" w:type="dxa"/>
          </w:tcPr>
          <w:p>
            <w:pPr>
              <w:pStyle w:val="0"/>
              <w:jc w:val="center"/>
            </w:pPr>
            <w:r>
              <w:rPr>
                <w:sz w:val="20"/>
              </w:rPr>
              <w:t xml:space="preserve">69,9</w:t>
            </w:r>
          </w:p>
        </w:tc>
        <w:tc>
          <w:tcPr>
            <w:tcW w:w="724" w:type="dxa"/>
          </w:tcPr>
          <w:p>
            <w:pPr>
              <w:pStyle w:val="0"/>
              <w:jc w:val="center"/>
            </w:pPr>
            <w:r>
              <w:rPr>
                <w:sz w:val="20"/>
              </w:rPr>
              <w:t xml:space="preserve">6,6</w:t>
            </w:r>
          </w:p>
        </w:tc>
        <w:tc>
          <w:tcPr>
            <w:tcW w:w="604" w:type="dxa"/>
          </w:tcPr>
          <w:p>
            <w:pPr>
              <w:pStyle w:val="0"/>
              <w:jc w:val="center"/>
            </w:pPr>
            <w:r>
              <w:rPr>
                <w:sz w:val="20"/>
              </w:rPr>
              <w:t xml:space="preserve">1,6</w:t>
            </w:r>
          </w:p>
        </w:tc>
        <w:tc>
          <w:tcPr>
            <w:tcW w:w="1191" w:type="dxa"/>
          </w:tcPr>
          <w:p>
            <w:pPr>
              <w:pStyle w:val="0"/>
              <w:jc w:val="center"/>
            </w:pPr>
            <w:r>
              <w:rPr>
                <w:sz w:val="20"/>
              </w:rPr>
              <w:t xml:space="preserve">100</w:t>
            </w:r>
          </w:p>
        </w:tc>
        <w:tc>
          <w:tcPr>
            <w:tcW w:w="1757" w:type="dxa"/>
          </w:tcPr>
          <w:p>
            <w:pPr>
              <w:pStyle w:val="0"/>
            </w:pPr>
            <w:r>
              <w:rPr>
                <w:sz w:val="20"/>
              </w:rPr>
            </w:r>
          </w:p>
        </w:tc>
      </w:tr>
    </w:tbl>
    <w:p>
      <w:pPr>
        <w:pStyle w:val="0"/>
        <w:jc w:val="both"/>
      </w:pPr>
      <w:r>
        <w:rPr>
          <w:sz w:val="20"/>
        </w:rPr>
      </w:r>
    </w:p>
    <w:p>
      <w:pPr>
        <w:pStyle w:val="0"/>
        <w:ind w:firstLine="540"/>
        <w:jc w:val="both"/>
      </w:pPr>
      <w:r>
        <w:rPr>
          <w:sz w:val="20"/>
        </w:rPr>
        <w:t xml:space="preserve">Лесной фонд области имеет достаточно значительную природную пожарную опасность 3,1 и требует постоянного наблюдения в период с апреля по ноябрь.</w:t>
      </w:r>
    </w:p>
    <w:p>
      <w:pPr>
        <w:pStyle w:val="0"/>
        <w:jc w:val="both"/>
      </w:pPr>
      <w:r>
        <w:rPr>
          <w:sz w:val="20"/>
        </w:rPr>
      </w:r>
    </w:p>
    <w:p>
      <w:pPr>
        <w:pStyle w:val="2"/>
        <w:outlineLvl w:val="3"/>
        <w:jc w:val="center"/>
      </w:pPr>
      <w:r>
        <w:rPr>
          <w:sz w:val="20"/>
        </w:rPr>
        <w:t xml:space="preserve">Анализ лесных пожаров</w:t>
      </w:r>
    </w:p>
    <w:p>
      <w:pPr>
        <w:pStyle w:val="0"/>
        <w:jc w:val="both"/>
      </w:pPr>
      <w:r>
        <w:rPr>
          <w:sz w:val="20"/>
        </w:rPr>
      </w:r>
    </w:p>
    <w:p>
      <w:pPr>
        <w:pStyle w:val="0"/>
        <w:jc w:val="right"/>
      </w:pPr>
      <w:r>
        <w:rPr>
          <w:sz w:val="20"/>
        </w:rPr>
        <w:t xml:space="preserve">Таблица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98"/>
        <w:gridCol w:w="2313"/>
        <w:gridCol w:w="2313"/>
        <w:gridCol w:w="2315"/>
      </w:tblGrid>
      <w:tr>
        <w:tc>
          <w:tcPr>
            <w:tcW w:w="2098" w:type="dxa"/>
          </w:tcPr>
          <w:p>
            <w:pPr>
              <w:pStyle w:val="0"/>
              <w:jc w:val="center"/>
            </w:pPr>
            <w:r>
              <w:rPr>
                <w:sz w:val="20"/>
              </w:rPr>
              <w:t xml:space="preserve">Год</w:t>
            </w:r>
          </w:p>
        </w:tc>
        <w:tc>
          <w:tcPr>
            <w:tcW w:w="2313" w:type="dxa"/>
          </w:tcPr>
          <w:p>
            <w:pPr>
              <w:pStyle w:val="0"/>
              <w:jc w:val="center"/>
            </w:pPr>
            <w:r>
              <w:rPr>
                <w:sz w:val="20"/>
              </w:rPr>
              <w:t xml:space="preserve">Количество лесных пожаров</w:t>
            </w:r>
          </w:p>
        </w:tc>
        <w:tc>
          <w:tcPr>
            <w:tcW w:w="2313" w:type="dxa"/>
          </w:tcPr>
          <w:p>
            <w:pPr>
              <w:pStyle w:val="0"/>
              <w:jc w:val="center"/>
            </w:pPr>
            <w:r>
              <w:rPr>
                <w:sz w:val="20"/>
              </w:rPr>
              <w:t xml:space="preserve">Площадь лесных пожаров, га</w:t>
            </w:r>
          </w:p>
        </w:tc>
        <w:tc>
          <w:tcPr>
            <w:tcW w:w="2315" w:type="dxa"/>
          </w:tcPr>
          <w:p>
            <w:pPr>
              <w:pStyle w:val="0"/>
              <w:jc w:val="center"/>
            </w:pPr>
            <w:r>
              <w:rPr>
                <w:sz w:val="20"/>
              </w:rPr>
              <w:t xml:space="preserve">Средняя площадь одного пожара, га</w:t>
            </w:r>
          </w:p>
        </w:tc>
      </w:tr>
      <w:tr>
        <w:tc>
          <w:tcPr>
            <w:tcW w:w="2098" w:type="dxa"/>
          </w:tcPr>
          <w:p>
            <w:pPr>
              <w:pStyle w:val="0"/>
              <w:jc w:val="center"/>
            </w:pPr>
            <w:r>
              <w:rPr>
                <w:sz w:val="20"/>
              </w:rPr>
              <w:t xml:space="preserve">2007</w:t>
            </w:r>
          </w:p>
        </w:tc>
        <w:tc>
          <w:tcPr>
            <w:tcW w:w="2313" w:type="dxa"/>
          </w:tcPr>
          <w:p>
            <w:pPr>
              <w:pStyle w:val="0"/>
              <w:jc w:val="center"/>
            </w:pPr>
            <w:r>
              <w:rPr>
                <w:sz w:val="20"/>
              </w:rPr>
              <w:t xml:space="preserve">97</w:t>
            </w:r>
          </w:p>
        </w:tc>
        <w:tc>
          <w:tcPr>
            <w:tcW w:w="2313" w:type="dxa"/>
          </w:tcPr>
          <w:p>
            <w:pPr>
              <w:pStyle w:val="0"/>
              <w:jc w:val="center"/>
            </w:pPr>
            <w:r>
              <w:rPr>
                <w:sz w:val="20"/>
              </w:rPr>
              <w:t xml:space="preserve">116,9</w:t>
            </w:r>
          </w:p>
        </w:tc>
        <w:tc>
          <w:tcPr>
            <w:tcW w:w="2315" w:type="dxa"/>
          </w:tcPr>
          <w:p>
            <w:pPr>
              <w:pStyle w:val="0"/>
              <w:jc w:val="center"/>
            </w:pPr>
            <w:r>
              <w:rPr>
                <w:sz w:val="20"/>
              </w:rPr>
              <w:t xml:space="preserve">1,2</w:t>
            </w:r>
          </w:p>
        </w:tc>
      </w:tr>
      <w:tr>
        <w:tc>
          <w:tcPr>
            <w:tcW w:w="2098" w:type="dxa"/>
          </w:tcPr>
          <w:p>
            <w:pPr>
              <w:pStyle w:val="0"/>
              <w:jc w:val="center"/>
            </w:pPr>
            <w:r>
              <w:rPr>
                <w:sz w:val="20"/>
              </w:rPr>
              <w:t xml:space="preserve">2008</w:t>
            </w:r>
          </w:p>
        </w:tc>
        <w:tc>
          <w:tcPr>
            <w:tcW w:w="2313" w:type="dxa"/>
          </w:tcPr>
          <w:p>
            <w:pPr>
              <w:pStyle w:val="0"/>
              <w:jc w:val="center"/>
            </w:pPr>
            <w:r>
              <w:rPr>
                <w:sz w:val="20"/>
              </w:rPr>
              <w:t xml:space="preserve">32</w:t>
            </w:r>
          </w:p>
        </w:tc>
        <w:tc>
          <w:tcPr>
            <w:tcW w:w="2313" w:type="dxa"/>
          </w:tcPr>
          <w:p>
            <w:pPr>
              <w:pStyle w:val="0"/>
              <w:jc w:val="center"/>
            </w:pPr>
            <w:r>
              <w:rPr>
                <w:sz w:val="20"/>
              </w:rPr>
              <w:t xml:space="preserve">32,255</w:t>
            </w:r>
          </w:p>
        </w:tc>
        <w:tc>
          <w:tcPr>
            <w:tcW w:w="2315" w:type="dxa"/>
          </w:tcPr>
          <w:p>
            <w:pPr>
              <w:pStyle w:val="0"/>
              <w:jc w:val="center"/>
            </w:pPr>
            <w:r>
              <w:rPr>
                <w:sz w:val="20"/>
              </w:rPr>
              <w:t xml:space="preserve">1,0</w:t>
            </w:r>
          </w:p>
        </w:tc>
      </w:tr>
      <w:tr>
        <w:tc>
          <w:tcPr>
            <w:tcW w:w="2098" w:type="dxa"/>
          </w:tcPr>
          <w:p>
            <w:pPr>
              <w:pStyle w:val="0"/>
              <w:jc w:val="center"/>
            </w:pPr>
            <w:r>
              <w:rPr>
                <w:sz w:val="20"/>
              </w:rPr>
              <w:t xml:space="preserve">2009</w:t>
            </w:r>
          </w:p>
        </w:tc>
        <w:tc>
          <w:tcPr>
            <w:tcW w:w="2313" w:type="dxa"/>
          </w:tcPr>
          <w:p>
            <w:pPr>
              <w:pStyle w:val="0"/>
              <w:jc w:val="center"/>
            </w:pPr>
            <w:r>
              <w:rPr>
                <w:sz w:val="20"/>
              </w:rPr>
              <w:t xml:space="preserve">43</w:t>
            </w:r>
          </w:p>
        </w:tc>
        <w:tc>
          <w:tcPr>
            <w:tcW w:w="2313" w:type="dxa"/>
          </w:tcPr>
          <w:p>
            <w:pPr>
              <w:pStyle w:val="0"/>
              <w:jc w:val="center"/>
            </w:pPr>
            <w:r>
              <w:rPr>
                <w:sz w:val="20"/>
              </w:rPr>
              <w:t xml:space="preserve">30,98</w:t>
            </w:r>
          </w:p>
        </w:tc>
        <w:tc>
          <w:tcPr>
            <w:tcW w:w="2315" w:type="dxa"/>
          </w:tcPr>
          <w:p>
            <w:pPr>
              <w:pStyle w:val="0"/>
              <w:jc w:val="center"/>
            </w:pPr>
            <w:r>
              <w:rPr>
                <w:sz w:val="20"/>
              </w:rPr>
              <w:t xml:space="preserve">0,72</w:t>
            </w:r>
          </w:p>
        </w:tc>
      </w:tr>
      <w:tr>
        <w:tc>
          <w:tcPr>
            <w:tcW w:w="2098" w:type="dxa"/>
          </w:tcPr>
          <w:p>
            <w:pPr>
              <w:pStyle w:val="0"/>
              <w:jc w:val="center"/>
            </w:pPr>
            <w:r>
              <w:rPr>
                <w:sz w:val="20"/>
              </w:rPr>
              <w:t xml:space="preserve">2010</w:t>
            </w:r>
          </w:p>
        </w:tc>
        <w:tc>
          <w:tcPr>
            <w:tcW w:w="2313" w:type="dxa"/>
          </w:tcPr>
          <w:p>
            <w:pPr>
              <w:pStyle w:val="0"/>
              <w:jc w:val="center"/>
            </w:pPr>
            <w:r>
              <w:rPr>
                <w:sz w:val="20"/>
              </w:rPr>
              <w:t xml:space="preserve">17</w:t>
            </w:r>
          </w:p>
        </w:tc>
        <w:tc>
          <w:tcPr>
            <w:tcW w:w="2313" w:type="dxa"/>
          </w:tcPr>
          <w:p>
            <w:pPr>
              <w:pStyle w:val="0"/>
              <w:jc w:val="center"/>
            </w:pPr>
            <w:r>
              <w:rPr>
                <w:sz w:val="20"/>
              </w:rPr>
              <w:t xml:space="preserve">651,16</w:t>
            </w:r>
          </w:p>
        </w:tc>
        <w:tc>
          <w:tcPr>
            <w:tcW w:w="2315" w:type="dxa"/>
          </w:tcPr>
          <w:p>
            <w:pPr>
              <w:pStyle w:val="0"/>
              <w:jc w:val="center"/>
            </w:pPr>
            <w:r>
              <w:rPr>
                <w:sz w:val="20"/>
              </w:rPr>
              <w:t xml:space="preserve">39,3</w:t>
            </w:r>
          </w:p>
        </w:tc>
      </w:tr>
      <w:tr>
        <w:tc>
          <w:tcPr>
            <w:tcW w:w="2098" w:type="dxa"/>
          </w:tcPr>
          <w:p>
            <w:pPr>
              <w:pStyle w:val="0"/>
              <w:jc w:val="center"/>
            </w:pPr>
            <w:r>
              <w:rPr>
                <w:sz w:val="20"/>
              </w:rPr>
              <w:t xml:space="preserve">2011</w:t>
            </w:r>
          </w:p>
        </w:tc>
        <w:tc>
          <w:tcPr>
            <w:tcW w:w="2313" w:type="dxa"/>
          </w:tcPr>
          <w:p>
            <w:pPr>
              <w:pStyle w:val="0"/>
              <w:jc w:val="center"/>
            </w:pPr>
            <w:r>
              <w:rPr>
                <w:sz w:val="20"/>
              </w:rPr>
              <w:t xml:space="preserve">2</w:t>
            </w:r>
          </w:p>
        </w:tc>
        <w:tc>
          <w:tcPr>
            <w:tcW w:w="2313" w:type="dxa"/>
          </w:tcPr>
          <w:p>
            <w:pPr>
              <w:pStyle w:val="0"/>
              <w:jc w:val="center"/>
            </w:pPr>
            <w:r>
              <w:rPr>
                <w:sz w:val="20"/>
              </w:rPr>
              <w:t xml:space="preserve">0,8</w:t>
            </w:r>
          </w:p>
        </w:tc>
        <w:tc>
          <w:tcPr>
            <w:tcW w:w="2315" w:type="dxa"/>
          </w:tcPr>
          <w:p>
            <w:pPr>
              <w:pStyle w:val="0"/>
              <w:jc w:val="center"/>
            </w:pPr>
            <w:r>
              <w:rPr>
                <w:sz w:val="20"/>
              </w:rPr>
              <w:t xml:space="preserve">0,4</w:t>
            </w:r>
          </w:p>
        </w:tc>
      </w:tr>
      <w:tr>
        <w:tc>
          <w:tcPr>
            <w:tcW w:w="2098" w:type="dxa"/>
          </w:tcPr>
          <w:p>
            <w:pPr>
              <w:pStyle w:val="0"/>
              <w:jc w:val="center"/>
            </w:pPr>
            <w:r>
              <w:rPr>
                <w:sz w:val="20"/>
              </w:rPr>
              <w:t xml:space="preserve">2012</w:t>
            </w:r>
          </w:p>
        </w:tc>
        <w:tc>
          <w:tcPr>
            <w:tcW w:w="2313" w:type="dxa"/>
          </w:tcPr>
          <w:p>
            <w:pPr>
              <w:pStyle w:val="0"/>
              <w:jc w:val="center"/>
            </w:pPr>
            <w:r>
              <w:rPr>
                <w:sz w:val="20"/>
              </w:rPr>
              <w:t xml:space="preserve">-</w:t>
            </w:r>
          </w:p>
        </w:tc>
        <w:tc>
          <w:tcPr>
            <w:tcW w:w="2313" w:type="dxa"/>
          </w:tcPr>
          <w:p>
            <w:pPr>
              <w:pStyle w:val="0"/>
              <w:jc w:val="center"/>
            </w:pPr>
            <w:r>
              <w:rPr>
                <w:sz w:val="20"/>
              </w:rPr>
              <w:t xml:space="preserve">-</w:t>
            </w:r>
          </w:p>
        </w:tc>
        <w:tc>
          <w:tcPr>
            <w:tcW w:w="2315" w:type="dxa"/>
          </w:tcPr>
          <w:p>
            <w:pPr>
              <w:pStyle w:val="0"/>
              <w:jc w:val="center"/>
            </w:pPr>
            <w:r>
              <w:rPr>
                <w:sz w:val="20"/>
              </w:rPr>
              <w:t xml:space="preserve">-</w:t>
            </w:r>
          </w:p>
        </w:tc>
      </w:tr>
      <w:tr>
        <w:tc>
          <w:tcPr>
            <w:tcW w:w="2098" w:type="dxa"/>
          </w:tcPr>
          <w:p>
            <w:pPr>
              <w:pStyle w:val="0"/>
              <w:jc w:val="center"/>
            </w:pPr>
            <w:r>
              <w:rPr>
                <w:sz w:val="20"/>
              </w:rPr>
              <w:t xml:space="preserve">В среднем за год</w:t>
            </w:r>
          </w:p>
        </w:tc>
        <w:tc>
          <w:tcPr>
            <w:tcW w:w="2313" w:type="dxa"/>
          </w:tcPr>
          <w:p>
            <w:pPr>
              <w:pStyle w:val="0"/>
              <w:jc w:val="center"/>
            </w:pPr>
            <w:r>
              <w:rPr>
                <w:sz w:val="20"/>
              </w:rPr>
              <w:t xml:space="preserve">31,8</w:t>
            </w:r>
          </w:p>
        </w:tc>
        <w:tc>
          <w:tcPr>
            <w:tcW w:w="2313" w:type="dxa"/>
          </w:tcPr>
          <w:p>
            <w:pPr>
              <w:pStyle w:val="0"/>
              <w:jc w:val="center"/>
            </w:pPr>
            <w:r>
              <w:rPr>
                <w:sz w:val="20"/>
              </w:rPr>
              <w:t xml:space="preserve">138,6</w:t>
            </w:r>
          </w:p>
        </w:tc>
        <w:tc>
          <w:tcPr>
            <w:tcW w:w="2315" w:type="dxa"/>
          </w:tcPr>
          <w:p>
            <w:pPr>
              <w:pStyle w:val="0"/>
              <w:jc w:val="center"/>
            </w:pPr>
            <w:r>
              <w:rPr>
                <w:sz w:val="20"/>
              </w:rPr>
              <w:t xml:space="preserve">4,3</w:t>
            </w:r>
          </w:p>
        </w:tc>
      </w:tr>
    </w:tbl>
    <w:p>
      <w:pPr>
        <w:pStyle w:val="0"/>
        <w:jc w:val="both"/>
      </w:pPr>
      <w:r>
        <w:rPr>
          <w:sz w:val="20"/>
        </w:rPr>
      </w:r>
    </w:p>
    <w:p>
      <w:pPr>
        <w:pStyle w:val="0"/>
        <w:ind w:firstLine="540"/>
        <w:jc w:val="both"/>
      </w:pPr>
      <w:r>
        <w:rPr>
          <w:sz w:val="20"/>
        </w:rPr>
        <w:t xml:space="preserve">Наибольшее число пожаров возникает в апреле и мае (пик возгорания - самый высокий класс пожарной опасности по условиям погоды) и августе, сентябре. Происходящие лесные пожары обусловлены высокой плотностью населения и большой рекреационной нагрузкой на лесные насаждения.</w:t>
      </w:r>
    </w:p>
    <w:p>
      <w:pPr>
        <w:pStyle w:val="0"/>
        <w:spacing w:before="200" w:line-rule="auto"/>
        <w:ind w:firstLine="540"/>
        <w:jc w:val="both"/>
      </w:pPr>
      <w:r>
        <w:rPr>
          <w:sz w:val="20"/>
        </w:rPr>
        <w:t xml:space="preserve">В целях предупреждения возникновения лесных пожаров ежегодно обеспечивается выполнение мер противопожарного обустройства лесов, включающих реконструкцию лесных дорог, предназначенных для охраны лесов от пожаров, устройство и уход за минерализованными полосами, благоустройство зон отдыха граждан, установку и эксплуатацию шлагбаумов, проведение санитарно-оздоровительных мероприятий. 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области. В рамках реализации мероприятия предусмотрено:</w:t>
      </w:r>
    </w:p>
    <w:p>
      <w:pPr>
        <w:pStyle w:val="0"/>
        <w:spacing w:before="200" w:line-rule="auto"/>
        <w:ind w:firstLine="540"/>
        <w:jc w:val="both"/>
      </w:pPr>
      <w:r>
        <w:rPr>
          <w:sz w:val="20"/>
        </w:rPr>
        <w:t xml:space="preserve">- развитие и практическое внедрение современных методов профилактики возникновения и распространения лесных пожаров;</w:t>
      </w:r>
    </w:p>
    <w:p>
      <w:pPr>
        <w:pStyle w:val="0"/>
        <w:spacing w:before="200" w:line-rule="auto"/>
        <w:ind w:firstLine="540"/>
        <w:jc w:val="both"/>
      </w:pPr>
      <w:r>
        <w:rPr>
          <w:sz w:val="20"/>
        </w:rPr>
        <w:t xml:space="preserve">- совершенствование системы обнаружения лесных пожаров на основе инновационных научно-технических достижений;</w:t>
      </w:r>
    </w:p>
    <w:p>
      <w:pPr>
        <w:pStyle w:val="0"/>
        <w:spacing w:before="200" w:line-rule="auto"/>
        <w:ind w:firstLine="540"/>
        <w:jc w:val="both"/>
      </w:pPr>
      <w:r>
        <w:rPr>
          <w:sz w:val="20"/>
        </w:rPr>
        <w:t xml:space="preserve">- повышение эффективности тушения лесных пожаров;</w:t>
      </w:r>
    </w:p>
    <w:p>
      <w:pPr>
        <w:pStyle w:val="0"/>
        <w:spacing w:before="200" w:line-rule="auto"/>
        <w:ind w:firstLine="540"/>
        <w:jc w:val="both"/>
      </w:pPr>
      <w:r>
        <w:rPr>
          <w:sz w:val="20"/>
        </w:rPr>
        <w:t xml:space="preserve">- функционирование областного государственного специализированного автономного учреждения "Лесопожарный центр";</w:t>
      </w:r>
    </w:p>
    <w:p>
      <w:pPr>
        <w:pStyle w:val="0"/>
        <w:spacing w:before="200" w:line-rule="auto"/>
        <w:ind w:firstLine="540"/>
        <w:jc w:val="both"/>
      </w:pPr>
      <w:r>
        <w:rPr>
          <w:sz w:val="20"/>
        </w:rPr>
        <w:t xml:space="preserve">- разработка проекта противопожарного обустройства лесов;</w:t>
      </w:r>
    </w:p>
    <w:p>
      <w:pPr>
        <w:pStyle w:val="0"/>
        <w:spacing w:before="200" w:line-rule="auto"/>
        <w:ind w:firstLine="540"/>
        <w:jc w:val="both"/>
      </w:pPr>
      <w:r>
        <w:rPr>
          <w:sz w:val="20"/>
        </w:rPr>
        <w:t xml:space="preserve">- обеспечение комплекса профилактических мероприятий, направленных на предупреждение возникновения лесных пожаров, в том числе:</w:t>
      </w:r>
    </w:p>
    <w:p>
      <w:pPr>
        <w:pStyle w:val="0"/>
        <w:spacing w:before="200" w:line-rule="auto"/>
        <w:ind w:firstLine="540"/>
        <w:jc w:val="both"/>
      </w:pPr>
      <w:r>
        <w:rPr>
          <w:sz w:val="20"/>
        </w:rPr>
        <w:t xml:space="preserve">организация пунктов сосредоточения противопожарного инвентаря;</w:t>
      </w:r>
    </w:p>
    <w:p>
      <w:pPr>
        <w:pStyle w:val="0"/>
        <w:spacing w:before="200" w:line-rule="auto"/>
        <w:ind w:firstLine="540"/>
        <w:jc w:val="both"/>
      </w:pPr>
      <w:r>
        <w:rPr>
          <w:sz w:val="20"/>
        </w:rPr>
        <w:t xml:space="preserve">создание и содержание средств предупреждения и тушения лесных пожаров, а также формирование запасов горюче-смазочных материалов;</w:t>
      </w:r>
    </w:p>
    <w:p>
      <w:pPr>
        <w:pStyle w:val="0"/>
        <w:spacing w:before="200" w:line-rule="auto"/>
        <w:ind w:firstLine="540"/>
        <w:jc w:val="both"/>
      </w:pPr>
      <w:r>
        <w:rPr>
          <w:sz w:val="20"/>
        </w:rPr>
        <w:t xml:space="preserve">приобретение пожарной техники и оборудования, пожарного инвентаря для тушения лесных пожаров;</w:t>
      </w:r>
    </w:p>
    <w:p>
      <w:pPr>
        <w:pStyle w:val="0"/>
        <w:spacing w:before="200" w:line-rule="auto"/>
        <w:ind w:firstLine="540"/>
        <w:jc w:val="both"/>
      </w:pPr>
      <w:r>
        <w:rPr>
          <w:sz w:val="20"/>
        </w:rPr>
        <w:t xml:space="preserve">содержание пожарной техники и оборудования, систем связи и оповещения;</w:t>
      </w:r>
    </w:p>
    <w:p>
      <w:pPr>
        <w:pStyle w:val="0"/>
        <w:spacing w:before="200" w:line-rule="auto"/>
        <w:ind w:firstLine="540"/>
        <w:jc w:val="both"/>
      </w:pPr>
      <w:r>
        <w:rPr>
          <w:sz w:val="20"/>
        </w:rPr>
        <w:t xml:space="preserve">осуществление наблюдения и контроля за пожарной опасностью в лесах и лесными пожарами с помощью дистанционного видеомониторинга "Лесной дозор";</w:t>
      </w:r>
    </w:p>
    <w:p>
      <w:pPr>
        <w:pStyle w:val="0"/>
        <w:spacing w:before="200" w:line-rule="auto"/>
        <w:ind w:firstLine="540"/>
        <w:jc w:val="both"/>
      </w:pPr>
      <w:r>
        <w:rPr>
          <w:sz w:val="20"/>
        </w:rPr>
        <w:t xml:space="preserve">организация патрулирования лесов;</w:t>
      </w:r>
    </w:p>
    <w:p>
      <w:pPr>
        <w:pStyle w:val="0"/>
        <w:spacing w:before="200" w:line-rule="auto"/>
        <w:ind w:firstLine="540"/>
        <w:jc w:val="both"/>
      </w:pPr>
      <w:r>
        <w:rPr>
          <w:sz w:val="20"/>
        </w:rPr>
        <w:t xml:space="preserve">прием и учет сообщений о лесных пожарах, а также оповещение населения о пожарной опасности в лесах и лесных пожарах региональным диспетчерским пунктом.</w:t>
      </w:r>
    </w:p>
    <w:p>
      <w:pPr>
        <w:pStyle w:val="0"/>
        <w:spacing w:before="200" w:line-rule="auto"/>
        <w:ind w:firstLine="540"/>
        <w:jc w:val="both"/>
      </w:pPr>
      <w:r>
        <w:rPr>
          <w:sz w:val="20"/>
        </w:rPr>
        <w:t xml:space="preserve">В рамках решения задачи 3 "Сокращение потерь лесного хозяйства от пожаров, вредных организмов и незаконных рубок" будет реализовано основное мероприятие 1.3 "Осуществление органами государственной власти Российской Федерации отдельных полномочий в области лесных отношений", которое предусматривает осуществление мер по предотвращению потерь лесного хозяйства от пожаров, вредных организмов, незаконных рубок, снижение уровня нарушений лесного законодательства и направлено:</w:t>
      </w:r>
    </w:p>
    <w:p>
      <w:pPr>
        <w:pStyle w:val="0"/>
        <w:spacing w:before="200" w:line-rule="auto"/>
        <w:ind w:firstLine="540"/>
        <w:jc w:val="both"/>
      </w:pPr>
      <w:r>
        <w:rPr>
          <w:sz w:val="20"/>
        </w:rPr>
        <w:t xml:space="preserve">- на увеличение площади лесов, переданных в аренду;</w:t>
      </w:r>
    </w:p>
    <w:p>
      <w:pPr>
        <w:pStyle w:val="0"/>
        <w:spacing w:before="200" w:line-rule="auto"/>
        <w:ind w:firstLine="540"/>
        <w:jc w:val="both"/>
      </w:pPr>
      <w:r>
        <w:rPr>
          <w:sz w:val="20"/>
        </w:rPr>
        <w:t xml:space="preserve">- проведение лесоустроительных работ на площади 228,6 тыс. га;</w:t>
      </w:r>
    </w:p>
    <w:p>
      <w:pPr>
        <w:pStyle w:val="0"/>
        <w:spacing w:before="200" w:line-rule="auto"/>
        <w:ind w:firstLine="540"/>
        <w:jc w:val="both"/>
      </w:pPr>
      <w:r>
        <w:rPr>
          <w:sz w:val="20"/>
        </w:rPr>
        <w:t xml:space="preserve">- обеспечение деятельности существующей численности должностных лиц, осуществляющих федеральный государственный лесной надзор (лесную охрану), федеральный государственный пожарный надзор в лесах транспортом, служебным оружием, специальными оборудованием и материалами. Повышение доли ущерба, взыскиваемого с лиц, нарушивших лесное законодательство;</w:t>
      </w:r>
    </w:p>
    <w:p>
      <w:pPr>
        <w:pStyle w:val="0"/>
        <w:spacing w:before="200" w:line-rule="auto"/>
        <w:ind w:firstLine="540"/>
        <w:jc w:val="both"/>
      </w:pPr>
      <w:r>
        <w:rPr>
          <w:sz w:val="20"/>
        </w:rPr>
        <w:t xml:space="preserve">- осуществление сбора, анализа и использования информации о лесопатологическом состоянии лесов, в том числе об очагах вредных организмов, отнесенных к карантинным объектам, выработка рекомендаций по обеспечению санитарной безопасности в лесах, организация и осуществление лесопатологических обследований лесов в целях уточнения состояния лесных насаждений, учета численности вредных организмов в лесах, выявление очагов вредных организмов и планирования работ по локализации и ликвидации очагов заинтересованными органами, локализация и ликвидация очагов вредных организмов авиационными и наземными способами с применением пестицидов, феромонов и энтомофагов;</w:t>
      </w:r>
    </w:p>
    <w:p>
      <w:pPr>
        <w:pStyle w:val="0"/>
        <w:spacing w:before="200" w:line-rule="auto"/>
        <w:ind w:firstLine="540"/>
        <w:jc w:val="both"/>
      </w:pPr>
      <w:r>
        <w:rPr>
          <w:sz w:val="20"/>
        </w:rPr>
        <w:t xml:space="preserve">- развитие интегрированной системы защиты леса с применением дистанционных методов и современных информационных технологий;</w:t>
      </w:r>
    </w:p>
    <w:p>
      <w:pPr>
        <w:pStyle w:val="0"/>
        <w:spacing w:before="200" w:line-rule="auto"/>
        <w:ind w:firstLine="540"/>
        <w:jc w:val="both"/>
      </w:pPr>
      <w:r>
        <w:rPr>
          <w:sz w:val="20"/>
        </w:rPr>
        <w:t xml:space="preserve">- проведение вырубки погибших и поврежденных лесных насаждений (выборочные и сплошные санитарные рубки), очистка лесов от захламления, загрязнения и иного негативного воздействия на землях лесного фонда;</w:t>
      </w:r>
    </w:p>
    <w:p>
      <w:pPr>
        <w:pStyle w:val="0"/>
        <w:spacing w:before="200" w:line-rule="auto"/>
        <w:ind w:firstLine="540"/>
        <w:jc w:val="both"/>
      </w:pPr>
      <w:r>
        <w:rPr>
          <w:sz w:val="20"/>
        </w:rPr>
        <w:t xml:space="preserve">- реконструкция дорог противопожарного назначения;</w:t>
      </w:r>
    </w:p>
    <w:p>
      <w:pPr>
        <w:pStyle w:val="0"/>
        <w:spacing w:before="200" w:line-rule="auto"/>
        <w:ind w:firstLine="540"/>
        <w:jc w:val="both"/>
      </w:pPr>
      <w:r>
        <w:rPr>
          <w:sz w:val="20"/>
        </w:rPr>
        <w:t xml:space="preserve">- устройство минерализованных полос;</w:t>
      </w:r>
    </w:p>
    <w:p>
      <w:pPr>
        <w:pStyle w:val="0"/>
        <w:spacing w:before="200" w:line-rule="auto"/>
        <w:ind w:firstLine="540"/>
        <w:jc w:val="both"/>
      </w:pPr>
      <w:r>
        <w:rPr>
          <w:sz w:val="20"/>
        </w:rPr>
        <w:t xml:space="preserve">- уход за минерализованными полосами;</w:t>
      </w:r>
    </w:p>
    <w:p>
      <w:pPr>
        <w:pStyle w:val="0"/>
        <w:spacing w:before="200" w:line-rule="auto"/>
        <w:ind w:firstLine="540"/>
        <w:jc w:val="both"/>
      </w:pPr>
      <w:r>
        <w:rPr>
          <w:sz w:val="20"/>
        </w:rPr>
        <w:t xml:space="preserve">- устройство противопожарных разрывов;</w:t>
      </w:r>
    </w:p>
    <w:p>
      <w:pPr>
        <w:pStyle w:val="0"/>
        <w:spacing w:before="200" w:line-rule="auto"/>
        <w:ind w:firstLine="540"/>
        <w:jc w:val="both"/>
      </w:pPr>
      <w:r>
        <w:rPr>
          <w:sz w:val="20"/>
        </w:rPr>
        <w:t xml:space="preserve">- уход за противопожарными разрывами.</w:t>
      </w:r>
    </w:p>
    <w:p>
      <w:pPr>
        <w:pStyle w:val="0"/>
        <w:spacing w:before="200" w:line-rule="auto"/>
        <w:ind w:firstLine="540"/>
        <w:jc w:val="both"/>
      </w:pPr>
      <w:r>
        <w:rPr>
          <w:sz w:val="20"/>
        </w:rPr>
        <w:t xml:space="preserve">В рамках решения задачи 4 "Сокращение лесных пожаров, возникших по вине граждан" будет реализовано основное мероприятие 1.4 "Приобретение специализированной лесопожарной техники и оборудования", в котором предусмотрено приобретение специализированной лесопожарной техники и оборудования за счет средств субсидий федерального бюджета, а также софинансирования за счет средств областного бюджета.</w:t>
      </w:r>
    </w:p>
    <w:p>
      <w:pPr>
        <w:pStyle w:val="0"/>
        <w:spacing w:before="200" w:line-rule="auto"/>
        <w:ind w:firstLine="540"/>
        <w:jc w:val="both"/>
      </w:pPr>
      <w:r>
        <w:rPr>
          <w:sz w:val="20"/>
        </w:rPr>
        <w:t xml:space="preserve">Основное мероприятие 1.4 "Приобретение специализированной лесопожарной техники и оборудования" направлено:</w:t>
      </w:r>
    </w:p>
    <w:p>
      <w:pPr>
        <w:pStyle w:val="0"/>
        <w:spacing w:before="200" w:line-rule="auto"/>
        <w:ind w:firstLine="540"/>
        <w:jc w:val="both"/>
      </w:pPr>
      <w:r>
        <w:rPr>
          <w:sz w:val="20"/>
        </w:rPr>
        <w:t xml:space="preserve">- на укрепление существующей материально-технической базы областного государственного специализированного автономного учреждения "Лесопожарный центр";</w:t>
      </w:r>
    </w:p>
    <w:p>
      <w:pPr>
        <w:pStyle w:val="0"/>
        <w:spacing w:before="200" w:line-rule="auto"/>
        <w:ind w:firstLine="540"/>
        <w:jc w:val="both"/>
      </w:pPr>
      <w:r>
        <w:rPr>
          <w:sz w:val="20"/>
        </w:rPr>
        <w:t xml:space="preserve">- предупреждение возникновения лесных пожаров;</w:t>
      </w:r>
    </w:p>
    <w:p>
      <w:pPr>
        <w:pStyle w:val="0"/>
        <w:spacing w:before="200" w:line-rule="auto"/>
        <w:ind w:firstLine="540"/>
        <w:jc w:val="both"/>
      </w:pPr>
      <w:r>
        <w:rPr>
          <w:sz w:val="20"/>
        </w:rPr>
        <w:t xml:space="preserve">- приобретение пожарной техники и оборудования, пожарного инвентаря для тушения лесных пожаров.</w:t>
      </w:r>
    </w:p>
    <w:p>
      <w:pPr>
        <w:pStyle w:val="0"/>
        <w:spacing w:before="200" w:line-rule="auto"/>
        <w:ind w:firstLine="540"/>
        <w:jc w:val="both"/>
      </w:pPr>
      <w:r>
        <w:rPr>
          <w:sz w:val="20"/>
        </w:rPr>
        <w:t xml:space="preserve">Сокращение доли лесных пожаров по вине граждан является важным фактором, так как в России по официальной статистике граждане вызывают примерно 90 процентов природных пожаров. От огня чаще страдают наиболее привлекательные, а потому более посещаемые места.</w:t>
      </w:r>
    </w:p>
    <w:p>
      <w:pPr>
        <w:pStyle w:val="0"/>
        <w:spacing w:before="200" w:line-rule="auto"/>
        <w:ind w:firstLine="540"/>
        <w:jc w:val="both"/>
      </w:pPr>
      <w:r>
        <w:rPr>
          <w:sz w:val="20"/>
        </w:rPr>
        <w:t xml:space="preserve">Следует отметить, что естественные пожары (вызванные молниями) отличаются от антропогенных (вызванных людьми) пожаров. Так, молнии, как правило, попадают в деревья на возвышенностях, и огонь, спускаясь по склону, продвигается медленно. При этом теряется сила пламени и огонь редко распространяется на большие площади. Антропогенные пожары чаще начинаются в низинах и распадках, что определяет более быстрое и опасное развитие.</w:t>
      </w:r>
    </w:p>
    <w:p>
      <w:pPr>
        <w:pStyle w:val="0"/>
        <w:spacing w:before="200" w:line-rule="auto"/>
        <w:ind w:firstLine="540"/>
        <w:jc w:val="both"/>
      </w:pPr>
      <w:r>
        <w:rPr>
          <w:sz w:val="20"/>
        </w:rPr>
        <w:t xml:space="preserve">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области.</w:t>
      </w:r>
    </w:p>
    <w:p>
      <w:pPr>
        <w:pStyle w:val="0"/>
        <w:spacing w:before="200" w:line-rule="auto"/>
        <w:ind w:firstLine="540"/>
        <w:jc w:val="both"/>
      </w:pPr>
      <w:r>
        <w:rPr>
          <w:sz w:val="20"/>
        </w:rPr>
        <w:t xml:space="preserve">В рамках решения задачи 5 "Увеличение площади, покрытой лесами" будет реализовано основное мероприятие 1.5 "Создание полезащитных полос", в рамках которого предусмотрено мероприятие по увеличению лесного покрова за счет областного бюджета.</w:t>
      </w:r>
    </w:p>
    <w:p>
      <w:pPr>
        <w:pStyle w:val="0"/>
        <w:spacing w:before="200" w:line-rule="auto"/>
        <w:ind w:firstLine="540"/>
        <w:jc w:val="both"/>
      </w:pPr>
      <w:r>
        <w:rPr>
          <w:sz w:val="20"/>
        </w:rPr>
        <w:t xml:space="preserve">Основное мероприятие 1.5 "Создание полезащитных полос" направлено:</w:t>
      </w:r>
    </w:p>
    <w:p>
      <w:pPr>
        <w:pStyle w:val="0"/>
        <w:spacing w:before="200" w:line-rule="auto"/>
        <w:ind w:firstLine="540"/>
        <w:jc w:val="both"/>
      </w:pPr>
      <w:r>
        <w:rPr>
          <w:sz w:val="20"/>
        </w:rPr>
        <w:t xml:space="preserve">- на проведение мероприятий в рамках областного проекта "Дубравы Белогорья", реализация которого позволит значительно увеличить площадь дубрав. Создание дубрав обеспечивает устойчивость лесов от неблагоприятных климатических и антропогенных воздействий, сохраняет исторически сложившиеся природные ландшафты Белогорья.</w:t>
      </w:r>
    </w:p>
    <w:p>
      <w:pPr>
        <w:pStyle w:val="0"/>
        <w:spacing w:before="200" w:line-rule="auto"/>
        <w:ind w:firstLine="540"/>
        <w:jc w:val="both"/>
      </w:pPr>
      <w:r>
        <w:rPr>
          <w:sz w:val="20"/>
        </w:rPr>
        <w:t xml:space="preserve">В рамках решения задачи 6 "Обеспечение баланса выбытия и воспроизводства лесов" будет реализован проект 1.GA "Сохранение лесов" национального проекта "Экология", разработанного в соответствии с </w:t>
      </w:r>
      <w:hyperlink w:history="0" r:id="rId81"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Указом</w:t>
        </w:r>
      </w:hyperlink>
      <w:r>
        <w:rPr>
          <w:sz w:val="20"/>
        </w:rP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 который направлен на обеспечение баланса выбытия и воспроизводства лесов в соотношении 100 процентов к 2024 году.</w:t>
      </w:r>
    </w:p>
    <w:p>
      <w:pPr>
        <w:pStyle w:val="0"/>
        <w:spacing w:before="200" w:line-rule="auto"/>
        <w:ind w:firstLine="540"/>
        <w:jc w:val="both"/>
      </w:pPr>
      <w:r>
        <w:rPr>
          <w:sz w:val="20"/>
        </w:rPr>
        <w:t xml:space="preserve">На реализацию мероприятий, предусмотренных региональным проектом "Сохранение лесов (Белгородская область)", паспортом Федерального проекта "Сохранение лесов" запланирована субвенция из федерального бюджета в размере 95920,3 тыс. рублей на 2019 - 2024 годы, в том числе:</w:t>
      </w:r>
    </w:p>
    <w:p>
      <w:pPr>
        <w:pStyle w:val="0"/>
        <w:spacing w:before="200" w:line-rule="auto"/>
        <w:ind w:firstLine="540"/>
        <w:jc w:val="both"/>
      </w:pPr>
      <w:r>
        <w:rPr>
          <w:sz w:val="20"/>
        </w:rPr>
        <w:t xml:space="preserve">на 2019 год - 27638,9 тыс. рублей;</w:t>
      </w:r>
    </w:p>
    <w:p>
      <w:pPr>
        <w:pStyle w:val="0"/>
        <w:spacing w:before="200" w:line-rule="auto"/>
        <w:ind w:firstLine="540"/>
        <w:jc w:val="both"/>
      </w:pPr>
      <w:r>
        <w:rPr>
          <w:sz w:val="20"/>
        </w:rPr>
        <w:t xml:space="preserve">на 2020 год - 18140,3 тыс. рублей;</w:t>
      </w:r>
    </w:p>
    <w:p>
      <w:pPr>
        <w:pStyle w:val="0"/>
        <w:spacing w:before="200" w:line-rule="auto"/>
        <w:ind w:firstLine="540"/>
        <w:jc w:val="both"/>
      </w:pPr>
      <w:r>
        <w:rPr>
          <w:sz w:val="20"/>
        </w:rPr>
        <w:t xml:space="preserve">на 2021 год - 10960,9 тыс. рублей;</w:t>
      </w:r>
    </w:p>
    <w:p>
      <w:pPr>
        <w:pStyle w:val="0"/>
        <w:spacing w:before="200" w:line-rule="auto"/>
        <w:ind w:firstLine="540"/>
        <w:jc w:val="both"/>
      </w:pPr>
      <w:r>
        <w:rPr>
          <w:sz w:val="20"/>
        </w:rPr>
        <w:t xml:space="preserve">на 2022 год - 9489,7 тыс. рублей;</w:t>
      </w:r>
    </w:p>
    <w:p>
      <w:pPr>
        <w:pStyle w:val="0"/>
        <w:spacing w:before="200" w:line-rule="auto"/>
        <w:ind w:firstLine="540"/>
        <w:jc w:val="both"/>
      </w:pPr>
      <w:r>
        <w:rPr>
          <w:sz w:val="20"/>
        </w:rPr>
        <w:t xml:space="preserve">на 2023 год - 17726,1 тыс. рублей;</w:t>
      </w:r>
    </w:p>
    <w:p>
      <w:pPr>
        <w:pStyle w:val="0"/>
        <w:spacing w:before="200" w:line-rule="auto"/>
        <w:ind w:firstLine="540"/>
        <w:jc w:val="both"/>
      </w:pPr>
      <w:r>
        <w:rPr>
          <w:sz w:val="20"/>
        </w:rPr>
        <w:t xml:space="preserve">на 2024 год - 11964,4 тыс. рублей.</w:t>
      </w:r>
    </w:p>
    <w:p>
      <w:pPr>
        <w:pStyle w:val="0"/>
        <w:jc w:val="both"/>
      </w:pPr>
      <w:r>
        <w:rPr>
          <w:sz w:val="20"/>
        </w:rPr>
        <w:t xml:space="preserve">(в ред. </w:t>
      </w:r>
      <w:hyperlink w:history="0" r:id="rId82"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В рамках реализации данного мероприятия планируется оснащение государственных учреждений специализированной лесопожарной техникой и оборудованием. Приобретение лесопожарной техники позволит повысить скорость реагирования лесопожарных служб и, как следствие, снижение ущерба от лесных пожаров. Оснащение государственных учреждений специализированной лесохозяйственной техникой и оборудованием позволит увеличить площади лесовосстановления, а также сформировать запас семян для лесовосстановления.</w:t>
      </w:r>
    </w:p>
    <w:p>
      <w:pPr>
        <w:pStyle w:val="0"/>
        <w:spacing w:before="200" w:line-rule="auto"/>
        <w:ind w:firstLine="540"/>
        <w:jc w:val="both"/>
      </w:pPr>
      <w:r>
        <w:rPr>
          <w:sz w:val="20"/>
        </w:rPr>
        <w:t xml:space="preserve">Система основных мероприятий и показатели подпрограммы 1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4. Прогноз конечных результатов подпрограммы 1.</w:t>
      </w:r>
    </w:p>
    <w:p>
      <w:pPr>
        <w:pStyle w:val="2"/>
        <w:jc w:val="center"/>
      </w:pPr>
      <w:r>
        <w:rPr>
          <w:sz w:val="20"/>
        </w:rPr>
        <w:t xml:space="preserve">Перечень показателей подпрограммы 1</w:t>
      </w:r>
    </w:p>
    <w:p>
      <w:pPr>
        <w:pStyle w:val="0"/>
        <w:jc w:val="both"/>
      </w:pPr>
      <w:r>
        <w:rPr>
          <w:sz w:val="20"/>
        </w:rPr>
      </w:r>
    </w:p>
    <w:p>
      <w:pPr>
        <w:pStyle w:val="0"/>
        <w:ind w:firstLine="540"/>
        <w:jc w:val="both"/>
      </w:pPr>
      <w:r>
        <w:rPr>
          <w:sz w:val="20"/>
        </w:rPr>
        <w:t xml:space="preserve">В результате реализации подпрограммы 1 к 2025 году планируется достижение следующих конечных результатов:</w:t>
      </w:r>
    </w:p>
    <w:p>
      <w:pPr>
        <w:pStyle w:val="0"/>
        <w:spacing w:before="200" w:line-rule="auto"/>
        <w:ind w:firstLine="540"/>
        <w:jc w:val="both"/>
      </w:pPr>
      <w:r>
        <w:rPr>
          <w:sz w:val="20"/>
        </w:rPr>
        <w:t xml:space="preserve">- уменьшение доли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 до 0,083 процента;</w:t>
      </w:r>
    </w:p>
    <w:p>
      <w:pPr>
        <w:pStyle w:val="0"/>
        <w:spacing w:before="200" w:line-rule="auto"/>
        <w:ind w:firstLine="540"/>
        <w:jc w:val="both"/>
      </w:pPr>
      <w:r>
        <w:rPr>
          <w:sz w:val="20"/>
        </w:rPr>
        <w:t xml:space="preserve">- увеличение объема платежей в бюджетные системы Российской Федерации от использования лесов, расположенных на землях лесного фонда, в расчете на 1 га земель лесного фонда до 72,2 руб./га;</w:t>
      </w:r>
    </w:p>
    <w:p>
      <w:pPr>
        <w:pStyle w:val="0"/>
        <w:spacing w:before="200" w:line-rule="auto"/>
        <w:ind w:firstLine="540"/>
        <w:jc w:val="both"/>
      </w:pPr>
      <w:r>
        <w:rPr>
          <w:sz w:val="20"/>
        </w:rPr>
        <w:t xml:space="preserve">- сохранение лесистости на территории Белгородской области на уровне до 8,7 процента.</w:t>
      </w:r>
    </w:p>
    <w:p>
      <w:pPr>
        <w:pStyle w:val="0"/>
        <w:spacing w:before="200" w:line-rule="auto"/>
        <w:ind w:firstLine="540"/>
        <w:jc w:val="both"/>
      </w:pPr>
      <w:r>
        <w:rPr>
          <w:sz w:val="20"/>
        </w:rPr>
        <w:t xml:space="preserve">Сведения о динамике значений показателей конечного и непосредственных результатов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r>
        <w:rPr>
          <w:sz w:val="20"/>
        </w:rPr>
        <w:t xml:space="preserve">Кроме того, реализация подпрограммы 1 направлена:</w:t>
      </w:r>
    </w:p>
    <w:p>
      <w:pPr>
        <w:pStyle w:val="0"/>
        <w:spacing w:before="200" w:line-rule="auto"/>
        <w:ind w:firstLine="540"/>
        <w:jc w:val="both"/>
      </w:pPr>
      <w:r>
        <w:rPr>
          <w:sz w:val="20"/>
        </w:rPr>
        <w:t xml:space="preserve">- на разработку проекта противопожарного обустройства лесов Российской Федерации на территории области;</w:t>
      </w:r>
    </w:p>
    <w:p>
      <w:pPr>
        <w:pStyle w:val="0"/>
        <w:spacing w:before="200" w:line-rule="auto"/>
        <w:ind w:firstLine="540"/>
        <w:jc w:val="both"/>
      </w:pPr>
      <w:r>
        <w:rPr>
          <w:sz w:val="20"/>
        </w:rPr>
        <w:t xml:space="preserve">- обеспечение лесопожарных учреждений области средствами предупреждения и тушения лесных пожаров;</w:t>
      </w:r>
    </w:p>
    <w:p>
      <w:pPr>
        <w:pStyle w:val="0"/>
        <w:spacing w:before="200" w:line-rule="auto"/>
        <w:ind w:firstLine="540"/>
        <w:jc w:val="both"/>
      </w:pPr>
      <w:r>
        <w:rPr>
          <w:sz w:val="20"/>
        </w:rPr>
        <w:t xml:space="preserve">- организацию системы межведомственного взаимодействия при тушении лесных пожаров;</w:t>
      </w:r>
    </w:p>
    <w:p>
      <w:pPr>
        <w:pStyle w:val="0"/>
        <w:spacing w:before="200" w:line-rule="auto"/>
        <w:ind w:firstLine="540"/>
        <w:jc w:val="both"/>
      </w:pPr>
      <w:r>
        <w:rPr>
          <w:sz w:val="20"/>
        </w:rPr>
        <w:t xml:space="preserve">- создание эффективной системы управления защиты лесов;</w:t>
      </w:r>
    </w:p>
    <w:p>
      <w:pPr>
        <w:pStyle w:val="0"/>
        <w:spacing w:before="200" w:line-rule="auto"/>
        <w:ind w:firstLine="540"/>
        <w:jc w:val="both"/>
      </w:pPr>
      <w:r>
        <w:rPr>
          <w:sz w:val="20"/>
        </w:rPr>
        <w:t xml:space="preserve">- внедрение новых средств локализации и ликвидации очагов вредных организмов;</w:t>
      </w:r>
    </w:p>
    <w:p>
      <w:pPr>
        <w:pStyle w:val="0"/>
        <w:spacing w:before="200" w:line-rule="auto"/>
        <w:ind w:firstLine="540"/>
        <w:jc w:val="both"/>
      </w:pPr>
      <w:r>
        <w:rPr>
          <w:sz w:val="20"/>
        </w:rPr>
        <w:t xml:space="preserve">- создание постоянной лесосеменной базы;</w:t>
      </w:r>
    </w:p>
    <w:p>
      <w:pPr>
        <w:pStyle w:val="0"/>
        <w:spacing w:before="200" w:line-rule="auto"/>
        <w:ind w:firstLine="540"/>
        <w:jc w:val="both"/>
      </w:pPr>
      <w:r>
        <w:rPr>
          <w:sz w:val="20"/>
        </w:rPr>
        <w:t xml:space="preserve">- обеспечение регулярного проведения уходов за лесными культурами;</w:t>
      </w:r>
    </w:p>
    <w:p>
      <w:pPr>
        <w:pStyle w:val="0"/>
        <w:spacing w:before="200" w:line-rule="auto"/>
        <w:ind w:firstLine="540"/>
        <w:jc w:val="both"/>
      </w:pPr>
      <w:r>
        <w:rPr>
          <w:sz w:val="20"/>
        </w:rPr>
        <w:t xml:space="preserve">- повышение доли ущерба, взыскиваемого с лиц, нарушивших лесное законодательство;</w:t>
      </w:r>
    </w:p>
    <w:p>
      <w:pPr>
        <w:pStyle w:val="0"/>
        <w:spacing w:before="200" w:line-rule="auto"/>
        <w:ind w:firstLine="540"/>
        <w:jc w:val="both"/>
      </w:pPr>
      <w:r>
        <w:rPr>
          <w:sz w:val="20"/>
        </w:rPr>
        <w:t xml:space="preserve">- обеспечение переподготовки, качественного и своевременного повышения квалификации специалистов лесного хозяйства.</w:t>
      </w:r>
    </w:p>
    <w:p>
      <w:pPr>
        <w:pStyle w:val="0"/>
        <w:jc w:val="both"/>
      </w:pPr>
      <w:r>
        <w:rPr>
          <w:sz w:val="20"/>
        </w:rPr>
      </w:r>
    </w:p>
    <w:p>
      <w:pPr>
        <w:pStyle w:val="2"/>
        <w:outlineLvl w:val="2"/>
        <w:jc w:val="center"/>
      </w:pPr>
      <w:r>
        <w:rPr>
          <w:sz w:val="20"/>
        </w:rPr>
        <w:t xml:space="preserve">5. Ресурсное обеспечение подпрограммы 1</w:t>
      </w:r>
    </w:p>
    <w:p>
      <w:pPr>
        <w:pStyle w:val="0"/>
        <w:jc w:val="both"/>
      </w:pPr>
      <w:r>
        <w:rPr>
          <w:sz w:val="20"/>
        </w:rPr>
      </w:r>
    </w:p>
    <w:p>
      <w:pPr>
        <w:pStyle w:val="0"/>
        <w:ind w:firstLine="540"/>
        <w:jc w:val="both"/>
      </w:pPr>
      <w:r>
        <w:rPr>
          <w:sz w:val="20"/>
        </w:rPr>
        <w:t xml:space="preserve">Планируемые объемы финансирования подпрограммы 1 в разрезе источников финансирования по годам реализации представлены в таблице.</w:t>
      </w:r>
    </w:p>
    <w:p>
      <w:pPr>
        <w:pStyle w:val="0"/>
        <w:jc w:val="both"/>
      </w:pPr>
      <w:r>
        <w:rPr>
          <w:sz w:val="20"/>
        </w:rPr>
      </w:r>
    </w:p>
    <w:p>
      <w:pPr>
        <w:pStyle w:val="0"/>
        <w:outlineLvl w:val="3"/>
        <w:jc w:val="right"/>
      </w:pPr>
      <w:r>
        <w:rPr>
          <w:sz w:val="20"/>
        </w:rPr>
        <w:t xml:space="preserve">Таблица 5</w:t>
      </w:r>
    </w:p>
    <w:p>
      <w:pPr>
        <w:pStyle w:val="0"/>
        <w:jc w:val="center"/>
      </w:pPr>
      <w:r>
        <w:rPr>
          <w:sz w:val="20"/>
        </w:rPr>
        <w:t xml:space="preserve">(в ред. </w:t>
      </w:r>
      <w:hyperlink w:history="0" r:id="rId83"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right"/>
      </w:pPr>
      <w:r>
        <w:rPr>
          <w:sz w:val="20"/>
        </w:rPr>
      </w:r>
    </w:p>
    <w:p>
      <w:pPr>
        <w:pStyle w:val="2"/>
        <w:outlineLvl w:val="4"/>
        <w:jc w:val="center"/>
      </w:pPr>
      <w:r>
        <w:rPr>
          <w:sz w:val="20"/>
        </w:rPr>
        <w:t xml:space="preserve">Планируемые объемы финансирования подпрограммы 1</w:t>
      </w:r>
    </w:p>
    <w:p>
      <w:pPr>
        <w:pStyle w:val="2"/>
        <w:jc w:val="center"/>
      </w:pPr>
      <w:r>
        <w:rPr>
          <w:sz w:val="20"/>
        </w:rPr>
        <w:t xml:space="preserve">на 1 этапе реализации</w:t>
      </w:r>
    </w:p>
    <w:p>
      <w:pPr>
        <w:pStyle w:val="0"/>
        <w:jc w:val="center"/>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1534"/>
        <w:gridCol w:w="1249"/>
        <w:gridCol w:w="2284"/>
        <w:gridCol w:w="1954"/>
        <w:gridCol w:w="1191"/>
      </w:tblGrid>
      <w:tr>
        <w:tc>
          <w:tcPr>
            <w:tcW w:w="850" w:type="dxa"/>
            <w:vMerge w:val="restart"/>
          </w:tcPr>
          <w:p>
            <w:pPr>
              <w:pStyle w:val="0"/>
              <w:jc w:val="center"/>
            </w:pPr>
            <w:r>
              <w:rPr>
                <w:sz w:val="20"/>
              </w:rPr>
              <w:t xml:space="preserve">Годы</w:t>
            </w:r>
          </w:p>
        </w:tc>
        <w:tc>
          <w:tcPr>
            <w:gridSpan w:val="5"/>
            <w:tcW w:w="8212" w:type="dxa"/>
          </w:tcPr>
          <w:p>
            <w:pPr>
              <w:pStyle w:val="0"/>
              <w:jc w:val="center"/>
            </w:pPr>
            <w:r>
              <w:rPr>
                <w:sz w:val="20"/>
              </w:rPr>
              <w:t xml:space="preserve">Источники финансирования</w:t>
            </w:r>
          </w:p>
        </w:tc>
      </w:tr>
      <w:tr>
        <w:tc>
          <w:tcPr>
            <w:vMerge w:val="continue"/>
          </w:tcPr>
          <w:p/>
        </w:tc>
        <w:tc>
          <w:tcPr>
            <w:tcW w:w="1534"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2284" w:type="dxa"/>
          </w:tcPr>
          <w:p>
            <w:pPr>
              <w:pStyle w:val="0"/>
              <w:jc w:val="center"/>
            </w:pPr>
            <w:r>
              <w:rPr>
                <w:sz w:val="20"/>
              </w:rPr>
              <w:t xml:space="preserve">Консолидированные бюджеты муниципальных образований</w:t>
            </w:r>
          </w:p>
        </w:tc>
        <w:tc>
          <w:tcPr>
            <w:tcW w:w="1954" w:type="dxa"/>
          </w:tcPr>
          <w:p>
            <w:pPr>
              <w:pStyle w:val="0"/>
              <w:jc w:val="center"/>
            </w:pPr>
            <w:r>
              <w:rPr>
                <w:sz w:val="20"/>
              </w:rPr>
              <w:t xml:space="preserve">Территориальные внебюджетные фонды</w:t>
            </w:r>
          </w:p>
        </w:tc>
        <w:tc>
          <w:tcPr>
            <w:tcW w:w="1191" w:type="dxa"/>
          </w:tcPr>
          <w:p>
            <w:pPr>
              <w:pStyle w:val="0"/>
              <w:jc w:val="center"/>
            </w:pPr>
            <w:r>
              <w:rPr>
                <w:sz w:val="20"/>
              </w:rPr>
              <w:t xml:space="preserve">Всего</w:t>
            </w:r>
          </w:p>
        </w:tc>
      </w:tr>
      <w:tr>
        <w:tc>
          <w:tcPr>
            <w:tcW w:w="850" w:type="dxa"/>
            <w:vAlign w:val="center"/>
          </w:tcPr>
          <w:p>
            <w:pPr>
              <w:pStyle w:val="0"/>
              <w:jc w:val="center"/>
            </w:pPr>
            <w:r>
              <w:rPr>
                <w:sz w:val="20"/>
              </w:rPr>
              <w:t xml:space="preserve">2014</w:t>
            </w:r>
          </w:p>
        </w:tc>
        <w:tc>
          <w:tcPr>
            <w:tcW w:w="1534" w:type="dxa"/>
            <w:vAlign w:val="center"/>
          </w:tcPr>
          <w:p>
            <w:pPr>
              <w:pStyle w:val="0"/>
              <w:jc w:val="center"/>
            </w:pPr>
            <w:r>
              <w:rPr>
                <w:sz w:val="20"/>
              </w:rPr>
              <w:t xml:space="preserve">87481,0</w:t>
            </w:r>
          </w:p>
        </w:tc>
        <w:tc>
          <w:tcPr>
            <w:tcW w:w="1249" w:type="dxa"/>
            <w:vAlign w:val="center"/>
          </w:tcPr>
          <w:p>
            <w:pPr>
              <w:pStyle w:val="0"/>
              <w:jc w:val="center"/>
            </w:pPr>
            <w:r>
              <w:rPr>
                <w:sz w:val="20"/>
              </w:rPr>
              <w:t xml:space="preserve">144930,0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232411,0</w:t>
            </w:r>
          </w:p>
        </w:tc>
      </w:tr>
      <w:tr>
        <w:tc>
          <w:tcPr>
            <w:tcW w:w="850" w:type="dxa"/>
            <w:vAlign w:val="center"/>
          </w:tcPr>
          <w:p>
            <w:pPr>
              <w:pStyle w:val="0"/>
              <w:jc w:val="center"/>
            </w:pPr>
            <w:r>
              <w:rPr>
                <w:sz w:val="20"/>
              </w:rPr>
              <w:t xml:space="preserve">2015</w:t>
            </w:r>
          </w:p>
        </w:tc>
        <w:tc>
          <w:tcPr>
            <w:tcW w:w="1534" w:type="dxa"/>
            <w:vAlign w:val="center"/>
          </w:tcPr>
          <w:p>
            <w:pPr>
              <w:pStyle w:val="0"/>
              <w:jc w:val="center"/>
            </w:pPr>
            <w:r>
              <w:rPr>
                <w:sz w:val="20"/>
              </w:rPr>
              <w:t xml:space="preserve">79711,0</w:t>
            </w:r>
          </w:p>
        </w:tc>
        <w:tc>
          <w:tcPr>
            <w:tcW w:w="1249" w:type="dxa"/>
            <w:vAlign w:val="center"/>
          </w:tcPr>
          <w:p>
            <w:pPr>
              <w:pStyle w:val="0"/>
              <w:jc w:val="center"/>
            </w:pPr>
            <w:r>
              <w:rPr>
                <w:sz w:val="20"/>
              </w:rPr>
              <w:t xml:space="preserve">134056,0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213767,0</w:t>
            </w:r>
          </w:p>
        </w:tc>
      </w:tr>
      <w:tr>
        <w:tc>
          <w:tcPr>
            <w:tcW w:w="850" w:type="dxa"/>
            <w:vAlign w:val="center"/>
          </w:tcPr>
          <w:p>
            <w:pPr>
              <w:pStyle w:val="0"/>
              <w:jc w:val="center"/>
            </w:pPr>
            <w:r>
              <w:rPr>
                <w:sz w:val="20"/>
              </w:rPr>
              <w:t xml:space="preserve">2016</w:t>
            </w:r>
          </w:p>
        </w:tc>
        <w:tc>
          <w:tcPr>
            <w:tcW w:w="1534" w:type="dxa"/>
            <w:vAlign w:val="center"/>
          </w:tcPr>
          <w:p>
            <w:pPr>
              <w:pStyle w:val="0"/>
              <w:jc w:val="center"/>
            </w:pPr>
            <w:r>
              <w:rPr>
                <w:sz w:val="20"/>
              </w:rPr>
              <w:t xml:space="preserve">68882,6</w:t>
            </w:r>
          </w:p>
        </w:tc>
        <w:tc>
          <w:tcPr>
            <w:tcW w:w="1249" w:type="dxa"/>
            <w:vAlign w:val="center"/>
          </w:tcPr>
          <w:p>
            <w:pPr>
              <w:pStyle w:val="0"/>
              <w:jc w:val="center"/>
            </w:pPr>
            <w:r>
              <w:rPr>
                <w:sz w:val="20"/>
              </w:rPr>
              <w:t xml:space="preserve">156506,0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225388,6</w:t>
            </w:r>
          </w:p>
        </w:tc>
      </w:tr>
      <w:tr>
        <w:tc>
          <w:tcPr>
            <w:tcW w:w="850" w:type="dxa"/>
            <w:vAlign w:val="center"/>
          </w:tcPr>
          <w:p>
            <w:pPr>
              <w:pStyle w:val="0"/>
              <w:jc w:val="center"/>
            </w:pPr>
            <w:r>
              <w:rPr>
                <w:sz w:val="20"/>
              </w:rPr>
              <w:t xml:space="preserve">2017</w:t>
            </w:r>
          </w:p>
        </w:tc>
        <w:tc>
          <w:tcPr>
            <w:tcW w:w="1534" w:type="dxa"/>
            <w:vAlign w:val="center"/>
          </w:tcPr>
          <w:p>
            <w:pPr>
              <w:pStyle w:val="0"/>
              <w:jc w:val="center"/>
            </w:pPr>
            <w:r>
              <w:rPr>
                <w:sz w:val="20"/>
              </w:rPr>
              <w:t xml:space="preserve">74185,0</w:t>
            </w:r>
          </w:p>
        </w:tc>
        <w:tc>
          <w:tcPr>
            <w:tcW w:w="1249" w:type="dxa"/>
            <w:vAlign w:val="center"/>
          </w:tcPr>
          <w:p>
            <w:pPr>
              <w:pStyle w:val="0"/>
              <w:jc w:val="center"/>
            </w:pPr>
            <w:r>
              <w:rPr>
                <w:sz w:val="20"/>
              </w:rPr>
              <w:t xml:space="preserve">144304,0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218489,0</w:t>
            </w:r>
          </w:p>
        </w:tc>
      </w:tr>
      <w:tr>
        <w:tc>
          <w:tcPr>
            <w:tcW w:w="850" w:type="dxa"/>
            <w:vAlign w:val="center"/>
          </w:tcPr>
          <w:p>
            <w:pPr>
              <w:pStyle w:val="0"/>
              <w:jc w:val="center"/>
            </w:pPr>
            <w:r>
              <w:rPr>
                <w:sz w:val="20"/>
              </w:rPr>
              <w:t xml:space="preserve">2018</w:t>
            </w:r>
          </w:p>
        </w:tc>
        <w:tc>
          <w:tcPr>
            <w:tcW w:w="1534" w:type="dxa"/>
            <w:vAlign w:val="center"/>
          </w:tcPr>
          <w:p>
            <w:pPr>
              <w:pStyle w:val="0"/>
              <w:jc w:val="center"/>
            </w:pPr>
            <w:r>
              <w:rPr>
                <w:sz w:val="20"/>
              </w:rPr>
              <w:t xml:space="preserve">110888,0</w:t>
            </w:r>
          </w:p>
        </w:tc>
        <w:tc>
          <w:tcPr>
            <w:tcW w:w="1249" w:type="dxa"/>
            <w:vAlign w:val="center"/>
          </w:tcPr>
          <w:p>
            <w:pPr>
              <w:pStyle w:val="0"/>
              <w:jc w:val="center"/>
            </w:pPr>
            <w:r>
              <w:rPr>
                <w:sz w:val="20"/>
              </w:rPr>
              <w:t xml:space="preserve">156868,0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267756,0</w:t>
            </w:r>
          </w:p>
        </w:tc>
      </w:tr>
      <w:tr>
        <w:tc>
          <w:tcPr>
            <w:tcW w:w="850" w:type="dxa"/>
            <w:vAlign w:val="center"/>
          </w:tcPr>
          <w:p>
            <w:pPr>
              <w:pStyle w:val="0"/>
              <w:jc w:val="center"/>
            </w:pPr>
            <w:r>
              <w:rPr>
                <w:sz w:val="20"/>
              </w:rPr>
              <w:t xml:space="preserve">2019</w:t>
            </w:r>
          </w:p>
        </w:tc>
        <w:tc>
          <w:tcPr>
            <w:tcW w:w="1534" w:type="dxa"/>
            <w:vAlign w:val="center"/>
          </w:tcPr>
          <w:p>
            <w:pPr>
              <w:pStyle w:val="0"/>
              <w:jc w:val="center"/>
            </w:pPr>
            <w:r>
              <w:rPr>
                <w:sz w:val="20"/>
              </w:rPr>
              <w:t xml:space="preserve">141961,9</w:t>
            </w:r>
          </w:p>
        </w:tc>
        <w:tc>
          <w:tcPr>
            <w:tcW w:w="1249" w:type="dxa"/>
            <w:vAlign w:val="center"/>
          </w:tcPr>
          <w:p>
            <w:pPr>
              <w:pStyle w:val="0"/>
              <w:jc w:val="center"/>
            </w:pPr>
            <w:r>
              <w:rPr>
                <w:sz w:val="20"/>
              </w:rPr>
              <w:t xml:space="preserve">154095,0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296056,9</w:t>
            </w:r>
          </w:p>
        </w:tc>
      </w:tr>
      <w:tr>
        <w:tc>
          <w:tcPr>
            <w:tcW w:w="850" w:type="dxa"/>
            <w:vAlign w:val="center"/>
          </w:tcPr>
          <w:p>
            <w:pPr>
              <w:pStyle w:val="0"/>
              <w:jc w:val="center"/>
            </w:pPr>
            <w:r>
              <w:rPr>
                <w:sz w:val="20"/>
              </w:rPr>
              <w:t xml:space="preserve">2020</w:t>
            </w:r>
          </w:p>
        </w:tc>
        <w:tc>
          <w:tcPr>
            <w:tcW w:w="1534" w:type="dxa"/>
            <w:vAlign w:val="center"/>
          </w:tcPr>
          <w:p>
            <w:pPr>
              <w:pStyle w:val="0"/>
              <w:jc w:val="center"/>
            </w:pPr>
            <w:r>
              <w:rPr>
                <w:sz w:val="20"/>
              </w:rPr>
              <w:t xml:space="preserve">137880,4</w:t>
            </w:r>
          </w:p>
        </w:tc>
        <w:tc>
          <w:tcPr>
            <w:tcW w:w="1249" w:type="dxa"/>
            <w:vAlign w:val="center"/>
          </w:tcPr>
          <w:p>
            <w:pPr>
              <w:pStyle w:val="0"/>
              <w:jc w:val="center"/>
            </w:pPr>
            <w:r>
              <w:rPr>
                <w:sz w:val="20"/>
              </w:rPr>
              <w:t xml:space="preserve">205200,0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343080,4</w:t>
            </w:r>
          </w:p>
        </w:tc>
      </w:tr>
      <w:tr>
        <w:tc>
          <w:tcPr>
            <w:tcW w:w="850" w:type="dxa"/>
            <w:vAlign w:val="center"/>
          </w:tcPr>
          <w:p>
            <w:pPr>
              <w:pStyle w:val="0"/>
              <w:jc w:val="center"/>
            </w:pPr>
            <w:r>
              <w:rPr>
                <w:sz w:val="20"/>
              </w:rPr>
              <w:t xml:space="preserve">Всего</w:t>
            </w:r>
          </w:p>
        </w:tc>
        <w:tc>
          <w:tcPr>
            <w:tcW w:w="1534" w:type="dxa"/>
            <w:vAlign w:val="center"/>
          </w:tcPr>
          <w:p>
            <w:pPr>
              <w:pStyle w:val="0"/>
              <w:jc w:val="center"/>
            </w:pPr>
            <w:r>
              <w:rPr>
                <w:sz w:val="20"/>
              </w:rPr>
              <w:t xml:space="preserve">700989,9</w:t>
            </w:r>
          </w:p>
        </w:tc>
        <w:tc>
          <w:tcPr>
            <w:tcW w:w="1249" w:type="dxa"/>
            <w:vAlign w:val="center"/>
          </w:tcPr>
          <w:p>
            <w:pPr>
              <w:pStyle w:val="0"/>
              <w:jc w:val="center"/>
            </w:pPr>
            <w:r>
              <w:rPr>
                <w:sz w:val="20"/>
              </w:rPr>
              <w:t xml:space="preserve">1095959,0</w:t>
            </w:r>
          </w:p>
        </w:tc>
        <w:tc>
          <w:tcPr>
            <w:tcW w:w="2284" w:type="dxa"/>
            <w:vAlign w:val="center"/>
          </w:tcPr>
          <w:p>
            <w:pPr>
              <w:pStyle w:val="0"/>
              <w:jc w:val="center"/>
            </w:pPr>
            <w:r>
              <w:rPr>
                <w:sz w:val="20"/>
              </w:rPr>
            </w:r>
          </w:p>
        </w:tc>
        <w:tc>
          <w:tcPr>
            <w:tcW w:w="1954" w:type="dxa"/>
            <w:vAlign w:val="center"/>
          </w:tcPr>
          <w:p>
            <w:pPr>
              <w:pStyle w:val="0"/>
              <w:jc w:val="center"/>
            </w:pPr>
            <w:r>
              <w:rPr>
                <w:sz w:val="20"/>
              </w:rPr>
            </w:r>
          </w:p>
        </w:tc>
        <w:tc>
          <w:tcPr>
            <w:tcW w:w="1191" w:type="dxa"/>
            <w:vAlign w:val="center"/>
          </w:tcPr>
          <w:p>
            <w:pPr>
              <w:pStyle w:val="0"/>
              <w:jc w:val="center"/>
            </w:pPr>
            <w:r>
              <w:rPr>
                <w:sz w:val="20"/>
              </w:rPr>
              <w:t xml:space="preserve">1796948,9</w:t>
            </w:r>
          </w:p>
        </w:tc>
      </w:tr>
    </w:tbl>
    <w:p>
      <w:pPr>
        <w:pStyle w:val="0"/>
        <w:jc w:val="center"/>
      </w:pPr>
      <w:r>
        <w:rPr>
          <w:sz w:val="20"/>
        </w:rPr>
      </w:r>
    </w:p>
    <w:p>
      <w:pPr>
        <w:pStyle w:val="2"/>
        <w:outlineLvl w:val="4"/>
        <w:jc w:val="center"/>
      </w:pPr>
      <w:r>
        <w:rPr>
          <w:sz w:val="20"/>
        </w:rPr>
        <w:t xml:space="preserve">Планируемые объемы финансирования подпрограммы 1</w:t>
      </w:r>
    </w:p>
    <w:p>
      <w:pPr>
        <w:pStyle w:val="2"/>
        <w:jc w:val="center"/>
      </w:pPr>
      <w:r>
        <w:rPr>
          <w:sz w:val="20"/>
        </w:rPr>
        <w:t xml:space="preserve">на 2 этапе реализации</w:t>
      </w:r>
    </w:p>
    <w:p>
      <w:pPr>
        <w:pStyle w:val="0"/>
        <w:jc w:val="right"/>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4"/>
        <w:gridCol w:w="1534"/>
        <w:gridCol w:w="1249"/>
        <w:gridCol w:w="2098"/>
        <w:gridCol w:w="1954"/>
        <w:gridCol w:w="1144"/>
      </w:tblGrid>
      <w:tr>
        <w:tc>
          <w:tcPr>
            <w:tcW w:w="1084" w:type="dxa"/>
            <w:vMerge w:val="restart"/>
          </w:tcPr>
          <w:p>
            <w:pPr>
              <w:pStyle w:val="0"/>
              <w:jc w:val="center"/>
            </w:pPr>
            <w:r>
              <w:rPr>
                <w:sz w:val="20"/>
              </w:rPr>
              <w:t xml:space="preserve">Годы</w:t>
            </w:r>
          </w:p>
        </w:tc>
        <w:tc>
          <w:tcPr>
            <w:gridSpan w:val="5"/>
            <w:tcW w:w="7979" w:type="dxa"/>
          </w:tcPr>
          <w:p>
            <w:pPr>
              <w:pStyle w:val="0"/>
              <w:jc w:val="center"/>
            </w:pPr>
            <w:r>
              <w:rPr>
                <w:sz w:val="20"/>
              </w:rPr>
              <w:t xml:space="preserve">Источники финансирования</w:t>
            </w:r>
          </w:p>
        </w:tc>
      </w:tr>
      <w:tr>
        <w:tc>
          <w:tcPr>
            <w:vMerge w:val="continue"/>
          </w:tcPr>
          <w:p/>
        </w:tc>
        <w:tc>
          <w:tcPr>
            <w:tcW w:w="1534"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2098" w:type="dxa"/>
          </w:tcPr>
          <w:p>
            <w:pPr>
              <w:pStyle w:val="0"/>
              <w:jc w:val="center"/>
            </w:pPr>
            <w:r>
              <w:rPr>
                <w:sz w:val="20"/>
              </w:rPr>
              <w:t xml:space="preserve">Консолидированные бюджеты муниципальных образований</w:t>
            </w:r>
          </w:p>
        </w:tc>
        <w:tc>
          <w:tcPr>
            <w:tcW w:w="1954" w:type="dxa"/>
          </w:tcPr>
          <w:p>
            <w:pPr>
              <w:pStyle w:val="0"/>
              <w:jc w:val="center"/>
            </w:pPr>
            <w:r>
              <w:rPr>
                <w:sz w:val="20"/>
              </w:rPr>
              <w:t xml:space="preserve">Территориальные внебюджетные фонды</w:t>
            </w:r>
          </w:p>
        </w:tc>
        <w:tc>
          <w:tcPr>
            <w:tcW w:w="1144" w:type="dxa"/>
          </w:tcPr>
          <w:p>
            <w:pPr>
              <w:pStyle w:val="0"/>
              <w:jc w:val="center"/>
            </w:pPr>
            <w:r>
              <w:rPr>
                <w:sz w:val="20"/>
              </w:rPr>
              <w:t xml:space="preserve">Всего</w:t>
            </w:r>
          </w:p>
        </w:tc>
      </w:tr>
      <w:tr>
        <w:tc>
          <w:tcPr>
            <w:tcW w:w="1084" w:type="dxa"/>
            <w:vAlign w:val="center"/>
          </w:tcPr>
          <w:p>
            <w:pPr>
              <w:pStyle w:val="0"/>
              <w:jc w:val="center"/>
            </w:pPr>
            <w:r>
              <w:rPr>
                <w:sz w:val="20"/>
              </w:rPr>
              <w:t xml:space="preserve">2021</w:t>
            </w:r>
          </w:p>
        </w:tc>
        <w:tc>
          <w:tcPr>
            <w:tcW w:w="1534" w:type="dxa"/>
            <w:vAlign w:val="center"/>
          </w:tcPr>
          <w:p>
            <w:pPr>
              <w:pStyle w:val="0"/>
              <w:jc w:val="center"/>
            </w:pPr>
            <w:r>
              <w:rPr>
                <w:sz w:val="20"/>
              </w:rPr>
              <w:t xml:space="preserve">136063,4</w:t>
            </w:r>
          </w:p>
        </w:tc>
        <w:tc>
          <w:tcPr>
            <w:tcW w:w="1249" w:type="dxa"/>
            <w:vAlign w:val="center"/>
          </w:tcPr>
          <w:p>
            <w:pPr>
              <w:pStyle w:val="0"/>
              <w:jc w:val="center"/>
            </w:pPr>
            <w:r>
              <w:rPr>
                <w:sz w:val="20"/>
              </w:rPr>
              <w:t xml:space="preserve">177292,2</w:t>
            </w:r>
          </w:p>
        </w:tc>
        <w:tc>
          <w:tcPr>
            <w:tcW w:w="2098" w:type="dxa"/>
            <w:vAlign w:val="center"/>
          </w:tcPr>
          <w:p>
            <w:pPr>
              <w:pStyle w:val="0"/>
              <w:jc w:val="center"/>
            </w:pPr>
            <w:r>
              <w:rPr>
                <w:sz w:val="20"/>
              </w:rPr>
            </w:r>
          </w:p>
        </w:tc>
        <w:tc>
          <w:tcPr>
            <w:tcW w:w="1954" w:type="dxa"/>
            <w:vAlign w:val="center"/>
          </w:tcPr>
          <w:p>
            <w:pPr>
              <w:pStyle w:val="0"/>
              <w:jc w:val="center"/>
            </w:pPr>
            <w:r>
              <w:rPr>
                <w:sz w:val="20"/>
              </w:rPr>
            </w:r>
          </w:p>
        </w:tc>
        <w:tc>
          <w:tcPr>
            <w:tcW w:w="1144" w:type="dxa"/>
            <w:vAlign w:val="center"/>
          </w:tcPr>
          <w:p>
            <w:pPr>
              <w:pStyle w:val="0"/>
              <w:jc w:val="center"/>
            </w:pPr>
            <w:r>
              <w:rPr>
                <w:sz w:val="20"/>
              </w:rPr>
              <w:t xml:space="preserve">313355,6</w:t>
            </w:r>
          </w:p>
        </w:tc>
      </w:tr>
      <w:tr>
        <w:tc>
          <w:tcPr>
            <w:tcW w:w="1084" w:type="dxa"/>
            <w:vAlign w:val="center"/>
          </w:tcPr>
          <w:p>
            <w:pPr>
              <w:pStyle w:val="0"/>
              <w:jc w:val="center"/>
            </w:pPr>
            <w:r>
              <w:rPr>
                <w:sz w:val="20"/>
              </w:rPr>
              <w:t xml:space="preserve">2022</w:t>
            </w:r>
          </w:p>
        </w:tc>
        <w:tc>
          <w:tcPr>
            <w:tcW w:w="1534" w:type="dxa"/>
            <w:vAlign w:val="center"/>
          </w:tcPr>
          <w:p>
            <w:pPr>
              <w:pStyle w:val="0"/>
              <w:jc w:val="center"/>
            </w:pPr>
            <w:r>
              <w:rPr>
                <w:sz w:val="20"/>
              </w:rPr>
              <w:t xml:space="preserve">132928</w:t>
            </w:r>
          </w:p>
        </w:tc>
        <w:tc>
          <w:tcPr>
            <w:tcW w:w="1249" w:type="dxa"/>
            <w:vAlign w:val="center"/>
          </w:tcPr>
          <w:p>
            <w:pPr>
              <w:pStyle w:val="0"/>
              <w:jc w:val="center"/>
            </w:pPr>
            <w:r>
              <w:rPr>
                <w:sz w:val="20"/>
              </w:rPr>
              <w:t xml:space="preserve">236652,9</w:t>
            </w:r>
          </w:p>
        </w:tc>
        <w:tc>
          <w:tcPr>
            <w:tcW w:w="2098" w:type="dxa"/>
            <w:vAlign w:val="center"/>
          </w:tcPr>
          <w:p>
            <w:pPr>
              <w:pStyle w:val="0"/>
              <w:jc w:val="center"/>
            </w:pPr>
            <w:r>
              <w:rPr>
                <w:sz w:val="20"/>
              </w:rPr>
            </w:r>
          </w:p>
        </w:tc>
        <w:tc>
          <w:tcPr>
            <w:tcW w:w="1954" w:type="dxa"/>
            <w:vAlign w:val="center"/>
          </w:tcPr>
          <w:p>
            <w:pPr>
              <w:pStyle w:val="0"/>
              <w:jc w:val="center"/>
            </w:pPr>
            <w:r>
              <w:rPr>
                <w:sz w:val="20"/>
              </w:rPr>
            </w:r>
          </w:p>
        </w:tc>
        <w:tc>
          <w:tcPr>
            <w:tcW w:w="1144" w:type="dxa"/>
            <w:vAlign w:val="center"/>
          </w:tcPr>
          <w:p>
            <w:pPr>
              <w:pStyle w:val="0"/>
              <w:jc w:val="center"/>
            </w:pPr>
            <w:r>
              <w:rPr>
                <w:sz w:val="20"/>
              </w:rPr>
              <w:t xml:space="preserve">369580,9</w:t>
            </w:r>
          </w:p>
        </w:tc>
      </w:tr>
      <w:tr>
        <w:tc>
          <w:tcPr>
            <w:tcW w:w="1084" w:type="dxa"/>
            <w:vAlign w:val="center"/>
          </w:tcPr>
          <w:p>
            <w:pPr>
              <w:pStyle w:val="0"/>
              <w:jc w:val="center"/>
            </w:pPr>
            <w:r>
              <w:rPr>
                <w:sz w:val="20"/>
              </w:rPr>
              <w:t xml:space="preserve">2023</w:t>
            </w:r>
          </w:p>
          <w:p>
            <w:pPr>
              <w:pStyle w:val="0"/>
              <w:jc w:val="center"/>
            </w:pPr>
            <w:r>
              <w:rPr>
                <w:sz w:val="20"/>
              </w:rPr>
              <w:t xml:space="preserve">(прогноз)</w:t>
            </w:r>
          </w:p>
        </w:tc>
        <w:tc>
          <w:tcPr>
            <w:tcW w:w="1534" w:type="dxa"/>
            <w:vAlign w:val="center"/>
          </w:tcPr>
          <w:p>
            <w:pPr>
              <w:pStyle w:val="0"/>
              <w:jc w:val="center"/>
            </w:pPr>
            <w:r>
              <w:rPr>
                <w:sz w:val="20"/>
              </w:rPr>
              <w:t xml:space="preserve">124374,4</w:t>
            </w:r>
          </w:p>
        </w:tc>
        <w:tc>
          <w:tcPr>
            <w:tcW w:w="1249" w:type="dxa"/>
            <w:vAlign w:val="center"/>
          </w:tcPr>
          <w:p>
            <w:pPr>
              <w:pStyle w:val="0"/>
              <w:jc w:val="center"/>
            </w:pPr>
            <w:r>
              <w:rPr>
                <w:sz w:val="20"/>
              </w:rPr>
              <w:t xml:space="preserve">226536,1</w:t>
            </w:r>
          </w:p>
        </w:tc>
        <w:tc>
          <w:tcPr>
            <w:tcW w:w="2098" w:type="dxa"/>
            <w:vAlign w:val="center"/>
          </w:tcPr>
          <w:p>
            <w:pPr>
              <w:pStyle w:val="0"/>
              <w:jc w:val="center"/>
            </w:pPr>
            <w:r>
              <w:rPr>
                <w:sz w:val="20"/>
              </w:rPr>
            </w:r>
          </w:p>
        </w:tc>
        <w:tc>
          <w:tcPr>
            <w:tcW w:w="1954" w:type="dxa"/>
            <w:vAlign w:val="center"/>
          </w:tcPr>
          <w:p>
            <w:pPr>
              <w:pStyle w:val="0"/>
              <w:jc w:val="center"/>
            </w:pPr>
            <w:r>
              <w:rPr>
                <w:sz w:val="20"/>
              </w:rPr>
            </w:r>
          </w:p>
        </w:tc>
        <w:tc>
          <w:tcPr>
            <w:tcW w:w="1144" w:type="dxa"/>
            <w:vAlign w:val="center"/>
          </w:tcPr>
          <w:p>
            <w:pPr>
              <w:pStyle w:val="0"/>
              <w:jc w:val="center"/>
            </w:pPr>
            <w:r>
              <w:rPr>
                <w:sz w:val="20"/>
              </w:rPr>
              <w:t xml:space="preserve">350910,5</w:t>
            </w:r>
          </w:p>
        </w:tc>
      </w:tr>
      <w:tr>
        <w:tc>
          <w:tcPr>
            <w:tcW w:w="1084" w:type="dxa"/>
            <w:vAlign w:val="center"/>
          </w:tcPr>
          <w:p>
            <w:pPr>
              <w:pStyle w:val="0"/>
              <w:jc w:val="center"/>
            </w:pPr>
            <w:r>
              <w:rPr>
                <w:sz w:val="20"/>
              </w:rPr>
              <w:t xml:space="preserve">2024 (прогноз)</w:t>
            </w:r>
          </w:p>
        </w:tc>
        <w:tc>
          <w:tcPr>
            <w:tcW w:w="1534" w:type="dxa"/>
            <w:vAlign w:val="center"/>
          </w:tcPr>
          <w:p>
            <w:pPr>
              <w:pStyle w:val="0"/>
              <w:jc w:val="center"/>
            </w:pPr>
            <w:r>
              <w:rPr>
                <w:sz w:val="20"/>
              </w:rPr>
              <w:t xml:space="preserve">130248,9</w:t>
            </w:r>
          </w:p>
        </w:tc>
        <w:tc>
          <w:tcPr>
            <w:tcW w:w="1249" w:type="dxa"/>
            <w:vAlign w:val="center"/>
          </w:tcPr>
          <w:p>
            <w:pPr>
              <w:pStyle w:val="0"/>
              <w:jc w:val="center"/>
            </w:pPr>
            <w:r>
              <w:rPr>
                <w:sz w:val="20"/>
              </w:rPr>
              <w:t xml:space="preserve">240881,6</w:t>
            </w:r>
          </w:p>
        </w:tc>
        <w:tc>
          <w:tcPr>
            <w:tcW w:w="2098" w:type="dxa"/>
            <w:vAlign w:val="center"/>
          </w:tcPr>
          <w:p>
            <w:pPr>
              <w:pStyle w:val="0"/>
              <w:jc w:val="center"/>
            </w:pPr>
            <w:r>
              <w:rPr>
                <w:sz w:val="20"/>
              </w:rPr>
            </w:r>
          </w:p>
        </w:tc>
        <w:tc>
          <w:tcPr>
            <w:tcW w:w="1954" w:type="dxa"/>
            <w:vAlign w:val="center"/>
          </w:tcPr>
          <w:p>
            <w:pPr>
              <w:pStyle w:val="0"/>
              <w:jc w:val="center"/>
            </w:pPr>
            <w:r>
              <w:rPr>
                <w:sz w:val="20"/>
              </w:rPr>
            </w:r>
          </w:p>
        </w:tc>
        <w:tc>
          <w:tcPr>
            <w:tcW w:w="1144" w:type="dxa"/>
            <w:vAlign w:val="center"/>
          </w:tcPr>
          <w:p>
            <w:pPr>
              <w:pStyle w:val="0"/>
              <w:jc w:val="center"/>
            </w:pPr>
            <w:r>
              <w:rPr>
                <w:sz w:val="20"/>
              </w:rPr>
              <w:t xml:space="preserve">371130,5</w:t>
            </w:r>
          </w:p>
        </w:tc>
      </w:tr>
      <w:tr>
        <w:tc>
          <w:tcPr>
            <w:tcW w:w="1084" w:type="dxa"/>
            <w:vAlign w:val="center"/>
          </w:tcPr>
          <w:p>
            <w:pPr>
              <w:pStyle w:val="0"/>
              <w:jc w:val="center"/>
            </w:pPr>
            <w:r>
              <w:rPr>
                <w:sz w:val="20"/>
              </w:rPr>
              <w:t xml:space="preserve">2025 (прогноз)</w:t>
            </w:r>
          </w:p>
        </w:tc>
        <w:tc>
          <w:tcPr>
            <w:tcW w:w="1534" w:type="dxa"/>
            <w:vAlign w:val="center"/>
          </w:tcPr>
          <w:p>
            <w:pPr>
              <w:pStyle w:val="0"/>
              <w:jc w:val="center"/>
            </w:pPr>
            <w:r>
              <w:rPr>
                <w:sz w:val="20"/>
              </w:rPr>
              <w:t xml:space="preserve">124792,8</w:t>
            </w:r>
          </w:p>
        </w:tc>
        <w:tc>
          <w:tcPr>
            <w:tcW w:w="1249" w:type="dxa"/>
            <w:vAlign w:val="center"/>
          </w:tcPr>
          <w:p>
            <w:pPr>
              <w:pStyle w:val="0"/>
              <w:jc w:val="center"/>
            </w:pPr>
            <w:r>
              <w:rPr>
                <w:sz w:val="20"/>
              </w:rPr>
              <w:t xml:space="preserve">249307,2</w:t>
            </w:r>
          </w:p>
        </w:tc>
        <w:tc>
          <w:tcPr>
            <w:tcW w:w="2098" w:type="dxa"/>
            <w:vAlign w:val="center"/>
          </w:tcPr>
          <w:p>
            <w:pPr>
              <w:pStyle w:val="0"/>
              <w:jc w:val="center"/>
            </w:pPr>
            <w:r>
              <w:rPr>
                <w:sz w:val="20"/>
              </w:rPr>
            </w:r>
          </w:p>
        </w:tc>
        <w:tc>
          <w:tcPr>
            <w:tcW w:w="1954" w:type="dxa"/>
            <w:vAlign w:val="center"/>
          </w:tcPr>
          <w:p>
            <w:pPr>
              <w:pStyle w:val="0"/>
              <w:jc w:val="center"/>
            </w:pPr>
            <w:r>
              <w:rPr>
                <w:sz w:val="20"/>
              </w:rPr>
            </w:r>
          </w:p>
        </w:tc>
        <w:tc>
          <w:tcPr>
            <w:tcW w:w="1144" w:type="dxa"/>
            <w:vAlign w:val="center"/>
          </w:tcPr>
          <w:p>
            <w:pPr>
              <w:pStyle w:val="0"/>
              <w:jc w:val="center"/>
            </w:pPr>
            <w:r>
              <w:rPr>
                <w:sz w:val="20"/>
              </w:rPr>
              <w:t xml:space="preserve">374100</w:t>
            </w:r>
          </w:p>
        </w:tc>
      </w:tr>
      <w:tr>
        <w:tc>
          <w:tcPr>
            <w:tcW w:w="1084" w:type="dxa"/>
            <w:vAlign w:val="center"/>
          </w:tcPr>
          <w:p>
            <w:pPr>
              <w:pStyle w:val="0"/>
              <w:jc w:val="center"/>
            </w:pPr>
            <w:r>
              <w:rPr>
                <w:sz w:val="20"/>
              </w:rPr>
              <w:t xml:space="preserve">Всего</w:t>
            </w:r>
          </w:p>
        </w:tc>
        <w:tc>
          <w:tcPr>
            <w:tcW w:w="1534" w:type="dxa"/>
            <w:vAlign w:val="center"/>
          </w:tcPr>
          <w:p>
            <w:pPr>
              <w:pStyle w:val="0"/>
              <w:jc w:val="center"/>
            </w:pPr>
            <w:r>
              <w:rPr>
                <w:sz w:val="20"/>
              </w:rPr>
              <w:t xml:space="preserve">648407,5</w:t>
            </w:r>
          </w:p>
        </w:tc>
        <w:tc>
          <w:tcPr>
            <w:tcW w:w="1249" w:type="dxa"/>
            <w:vAlign w:val="center"/>
          </w:tcPr>
          <w:p>
            <w:pPr>
              <w:pStyle w:val="0"/>
              <w:jc w:val="center"/>
            </w:pPr>
            <w:r>
              <w:rPr>
                <w:sz w:val="20"/>
              </w:rPr>
              <w:t xml:space="preserve">1130670</w:t>
            </w:r>
          </w:p>
        </w:tc>
        <w:tc>
          <w:tcPr>
            <w:tcW w:w="2098" w:type="dxa"/>
            <w:vAlign w:val="center"/>
          </w:tcPr>
          <w:p>
            <w:pPr>
              <w:pStyle w:val="0"/>
              <w:jc w:val="center"/>
            </w:pPr>
            <w:r>
              <w:rPr>
                <w:sz w:val="20"/>
              </w:rPr>
            </w:r>
          </w:p>
        </w:tc>
        <w:tc>
          <w:tcPr>
            <w:tcW w:w="1954" w:type="dxa"/>
            <w:vAlign w:val="center"/>
          </w:tcPr>
          <w:p>
            <w:pPr>
              <w:pStyle w:val="0"/>
              <w:jc w:val="center"/>
            </w:pPr>
            <w:r>
              <w:rPr>
                <w:sz w:val="20"/>
              </w:rPr>
            </w:r>
          </w:p>
        </w:tc>
        <w:tc>
          <w:tcPr>
            <w:tcW w:w="1144" w:type="dxa"/>
            <w:vAlign w:val="center"/>
          </w:tcPr>
          <w:p>
            <w:pPr>
              <w:pStyle w:val="0"/>
              <w:jc w:val="center"/>
            </w:pPr>
            <w:r>
              <w:rPr>
                <w:sz w:val="20"/>
              </w:rPr>
              <w:t xml:space="preserve">1779077,5</w:t>
            </w:r>
          </w:p>
        </w:tc>
      </w:tr>
    </w:tbl>
    <w:p>
      <w:pPr>
        <w:pStyle w:val="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подпрограммы 1 представлены в </w:t>
      </w:r>
      <w:hyperlink w:history="0" w:anchor="P2181" w:tooltip="Приложение N 1">
        <w:r>
          <w:rPr>
            <w:sz w:val="20"/>
            <w:color w:val="0000ff"/>
          </w:rPr>
          <w:t xml:space="preserve">приложениях N 1</w:t>
        </w:r>
      </w:hyperlink>
      <w:r>
        <w:rPr>
          <w:sz w:val="20"/>
        </w:rPr>
        <w:t xml:space="preserve"> и </w:t>
      </w:r>
      <w:hyperlink w:history="0" w:anchor="P4123" w:tooltip="Основные меры правового регулирования в сфере реализации">
        <w:r>
          <w:rPr>
            <w:sz w:val="20"/>
            <w:color w:val="0000ff"/>
          </w:rPr>
          <w:t xml:space="preserve">N 2</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1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bookmarkStart w:id="904" w:name="P904"/>
    <w:bookmarkEnd w:id="904"/>
    <w:p>
      <w:pPr>
        <w:pStyle w:val="2"/>
        <w:outlineLvl w:val="1"/>
        <w:jc w:val="center"/>
      </w:pPr>
      <w:r>
        <w:rPr>
          <w:sz w:val="20"/>
        </w:rPr>
        <w:t xml:space="preserve">Паспорт</w:t>
      </w:r>
    </w:p>
    <w:p>
      <w:pPr>
        <w:pStyle w:val="2"/>
        <w:jc w:val="center"/>
      </w:pPr>
      <w:r>
        <w:rPr>
          <w:sz w:val="20"/>
        </w:rPr>
        <w:t xml:space="preserve">подпрограммы 2 "Развитие водохозяйственного комплекса"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подпрограммы: "Развитие водохозяйственного комплекса" (далее - подпрограмма 2)</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Соисполнитель</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8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Участники подпрограммы 2</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85"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c>
          <w:tcPr>
            <w:tcW w:w="454" w:type="dxa"/>
          </w:tcPr>
          <w:p>
            <w:pPr>
              <w:pStyle w:val="0"/>
              <w:jc w:val="center"/>
            </w:pPr>
            <w:r>
              <w:rPr>
                <w:sz w:val="20"/>
              </w:rPr>
              <w:t xml:space="preserve">3</w:t>
            </w:r>
          </w:p>
        </w:tc>
        <w:tc>
          <w:tcPr>
            <w:tcW w:w="2324" w:type="dxa"/>
          </w:tcPr>
          <w:p>
            <w:pPr>
              <w:pStyle w:val="0"/>
            </w:pPr>
            <w:r>
              <w:rPr>
                <w:sz w:val="20"/>
              </w:rPr>
              <w:t xml:space="preserve">Цель подпрограммы 2</w:t>
            </w:r>
          </w:p>
        </w:tc>
        <w:tc>
          <w:tcPr>
            <w:tcW w:w="6236" w:type="dxa"/>
          </w:tcPr>
          <w:p>
            <w:pPr>
              <w:pStyle w:val="0"/>
              <w:jc w:val="both"/>
            </w:pPr>
            <w:r>
              <w:rPr>
                <w:sz w:val="20"/>
              </w:rPr>
              <w:t xml:space="preserve">Создание условий для эффективного развития водохозяйственного комплекса</w:t>
            </w:r>
          </w:p>
        </w:tc>
      </w:tr>
      <w:tr>
        <w:tblPrEx>
          <w:tblBorders>
            <w:insideH w:val="nil"/>
          </w:tblBorders>
        </w:tblPrEx>
        <w:tc>
          <w:tcPr>
            <w:tcW w:w="454" w:type="dxa"/>
            <w:tcBorders>
              <w:bottom w:val="nil"/>
            </w:tcBorders>
          </w:tcPr>
          <w:p>
            <w:pPr>
              <w:pStyle w:val="0"/>
              <w:jc w:val="center"/>
            </w:pPr>
            <w:r>
              <w:rPr>
                <w:sz w:val="20"/>
              </w:rPr>
              <w:t xml:space="preserve">4</w:t>
            </w:r>
          </w:p>
        </w:tc>
        <w:tc>
          <w:tcPr>
            <w:tcW w:w="2324" w:type="dxa"/>
            <w:tcBorders>
              <w:bottom w:val="nil"/>
            </w:tcBorders>
          </w:tcPr>
          <w:p>
            <w:pPr>
              <w:pStyle w:val="0"/>
            </w:pPr>
            <w:r>
              <w:rPr>
                <w:sz w:val="20"/>
              </w:rPr>
              <w:t xml:space="preserve">Задачи подпрограммы 2</w:t>
            </w:r>
          </w:p>
        </w:tc>
        <w:tc>
          <w:tcPr>
            <w:tcW w:w="6236" w:type="dxa"/>
            <w:tcBorders>
              <w:bottom w:val="nil"/>
            </w:tcBorders>
          </w:tcPr>
          <w:p>
            <w:pPr>
              <w:pStyle w:val="0"/>
              <w:jc w:val="both"/>
            </w:pPr>
            <w:r>
              <w:rPr>
                <w:sz w:val="20"/>
              </w:rPr>
              <w:t xml:space="preserve">1. Восстановление и экологическая реабилитация водных объектов.</w:t>
            </w:r>
          </w:p>
          <w:p>
            <w:pPr>
              <w:pStyle w:val="0"/>
              <w:jc w:val="both"/>
            </w:pPr>
            <w:r>
              <w:rPr>
                <w:sz w:val="20"/>
              </w:rPr>
              <w:t xml:space="preserve">2. Повышение эксплуатационной надежности гидротехнических сооружений, в том числе бесхозяйных, путем их приведения в безопасное техническое состояние.</w:t>
            </w:r>
          </w:p>
          <w:p>
            <w:pPr>
              <w:pStyle w:val="0"/>
              <w:jc w:val="both"/>
            </w:pPr>
            <w:r>
              <w:rPr>
                <w:sz w:val="20"/>
              </w:rPr>
              <w:t xml:space="preserve">3. Улучшение экологического состояния гидрографической сети.</w:t>
            </w:r>
          </w:p>
          <w:p>
            <w:pPr>
              <w:pStyle w:val="0"/>
              <w:jc w:val="both"/>
            </w:pPr>
            <w:r>
              <w:rPr>
                <w:sz w:val="20"/>
              </w:rPr>
              <w:t xml:space="preserve">4. Предупреждение чрезвычайных ситуаций межмуниципального и регионального характера</w:t>
            </w:r>
          </w:p>
        </w:tc>
      </w:tr>
      <w:tr>
        <w:tblPrEx>
          <w:tblBorders>
            <w:insideH w:val="nil"/>
          </w:tblBorders>
        </w:tblPrEx>
        <w:tc>
          <w:tcPr>
            <w:gridSpan w:val="3"/>
            <w:tcW w:w="9014" w:type="dxa"/>
            <w:tcBorders>
              <w:top w:val="nil"/>
            </w:tcBorders>
          </w:tcPr>
          <w:p>
            <w:pPr>
              <w:pStyle w:val="0"/>
              <w:jc w:val="both"/>
            </w:pPr>
            <w:r>
              <w:rPr>
                <w:sz w:val="20"/>
              </w:rPr>
              <w:t xml:space="preserve">(в ред. постановлений Правительства Белгородской области от 22.03.2021 </w:t>
            </w:r>
            <w:hyperlink w:history="0" r:id="rId86"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rPr>
              <w:t xml:space="preserve">, от 17.01.2022 </w:t>
            </w:r>
            <w:hyperlink w:history="0" r:id="rId8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rPr>
              <w:t xml:space="preserve">)</w:t>
            </w:r>
          </w:p>
        </w:tc>
      </w:tr>
      <w:tr>
        <w:tc>
          <w:tcPr>
            <w:tcW w:w="454" w:type="dxa"/>
          </w:tcPr>
          <w:p>
            <w:pPr>
              <w:pStyle w:val="0"/>
              <w:jc w:val="center"/>
            </w:pPr>
            <w:r>
              <w:rPr>
                <w:sz w:val="20"/>
              </w:rPr>
              <w:t xml:space="preserve">5</w:t>
            </w:r>
          </w:p>
        </w:tc>
        <w:tc>
          <w:tcPr>
            <w:tcW w:w="2324" w:type="dxa"/>
          </w:tcPr>
          <w:p>
            <w:pPr>
              <w:pStyle w:val="0"/>
            </w:pPr>
            <w:r>
              <w:rPr>
                <w:sz w:val="20"/>
              </w:rPr>
              <w:t xml:space="preserve">Сроки и этапы реализации подпрограммы 2</w:t>
            </w:r>
          </w:p>
        </w:tc>
        <w:tc>
          <w:tcPr>
            <w:tcW w:w="6236" w:type="dxa"/>
          </w:tcPr>
          <w:p>
            <w:pPr>
              <w:pStyle w:val="0"/>
              <w:jc w:val="both"/>
            </w:pPr>
            <w:r>
              <w:rPr>
                <w:sz w:val="20"/>
              </w:rPr>
              <w:t xml:space="preserve">Реализация подпрограммы 2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Объем бюджетных ассигнований подпрограммы 2</w:t>
            </w:r>
          </w:p>
        </w:tc>
        <w:tc>
          <w:tcPr>
            <w:tcW w:w="6236" w:type="dxa"/>
            <w:tcBorders>
              <w:bottom w:val="nil"/>
            </w:tcBorders>
          </w:tcPr>
          <w:p>
            <w:pPr>
              <w:pStyle w:val="0"/>
              <w:jc w:val="both"/>
            </w:pPr>
            <w:r>
              <w:rPr>
                <w:sz w:val="20"/>
              </w:rPr>
              <w:t xml:space="preserve">Общий объем финансирования подпрограммы 2 в 2014 - 2025 годах за счет средств всех источников финансирования составит 1710524,94 тыс. рублей. Объем финансирования за счет областного бюджета составит 1348724,1 тыс. рублей, в том числе по годам:</w:t>
            </w:r>
          </w:p>
          <w:p>
            <w:pPr>
              <w:pStyle w:val="0"/>
              <w:jc w:val="both"/>
            </w:pPr>
            <w:r>
              <w:rPr>
                <w:sz w:val="20"/>
              </w:rPr>
              <w:t xml:space="preserve">2014 год - 900,0 тыс. рублей;</w:t>
            </w:r>
          </w:p>
          <w:p>
            <w:pPr>
              <w:pStyle w:val="0"/>
              <w:jc w:val="both"/>
            </w:pPr>
            <w:r>
              <w:rPr>
                <w:sz w:val="20"/>
              </w:rPr>
              <w:t xml:space="preserve">2015 год - 900,0 тыс. рублей;</w:t>
            </w:r>
          </w:p>
          <w:p>
            <w:pPr>
              <w:pStyle w:val="0"/>
              <w:jc w:val="both"/>
            </w:pPr>
            <w:r>
              <w:rPr>
                <w:sz w:val="20"/>
              </w:rPr>
              <w:t xml:space="preserve">2016 год - 0 тыс. рублей;</w:t>
            </w:r>
          </w:p>
          <w:p>
            <w:pPr>
              <w:pStyle w:val="0"/>
              <w:jc w:val="both"/>
            </w:pPr>
            <w:r>
              <w:rPr>
                <w:sz w:val="20"/>
              </w:rPr>
              <w:t xml:space="preserve">2017 год - 0 тыс. рублей;</w:t>
            </w:r>
          </w:p>
          <w:p>
            <w:pPr>
              <w:pStyle w:val="0"/>
              <w:jc w:val="both"/>
            </w:pPr>
            <w:r>
              <w:rPr>
                <w:sz w:val="20"/>
              </w:rPr>
              <w:t xml:space="preserve">2018 год - 2832,0 тыс. рублей;</w:t>
            </w:r>
          </w:p>
          <w:p>
            <w:pPr>
              <w:pStyle w:val="0"/>
              <w:jc w:val="both"/>
            </w:pPr>
            <w:r>
              <w:rPr>
                <w:sz w:val="20"/>
              </w:rPr>
              <w:t xml:space="preserve">2019 год - 3991,6 тыс. рублей;</w:t>
            </w:r>
          </w:p>
          <w:p>
            <w:pPr>
              <w:pStyle w:val="0"/>
              <w:jc w:val="both"/>
            </w:pPr>
            <w:r>
              <w:rPr>
                <w:sz w:val="20"/>
              </w:rPr>
              <w:t xml:space="preserve">2020 год - 4078,6 тыс. рублей;</w:t>
            </w:r>
          </w:p>
          <w:p>
            <w:pPr>
              <w:pStyle w:val="0"/>
              <w:jc w:val="both"/>
            </w:pPr>
            <w:r>
              <w:rPr>
                <w:sz w:val="20"/>
              </w:rPr>
              <w:t xml:space="preserve">2021 год - 140049,9 тыс. рублей;</w:t>
            </w:r>
          </w:p>
          <w:p>
            <w:pPr>
              <w:pStyle w:val="0"/>
              <w:jc w:val="both"/>
            </w:pPr>
            <w:r>
              <w:rPr>
                <w:sz w:val="20"/>
              </w:rPr>
              <w:t xml:space="preserve">2022 год - 588057,8 тыс. рублей;</w:t>
            </w:r>
          </w:p>
          <w:p>
            <w:pPr>
              <w:pStyle w:val="0"/>
              <w:jc w:val="both"/>
            </w:pPr>
            <w:r>
              <w:rPr>
                <w:sz w:val="20"/>
              </w:rPr>
              <w:t xml:space="preserve">2023 год - 535734,3 тыс. рублей;</w:t>
            </w:r>
          </w:p>
          <w:p>
            <w:pPr>
              <w:pStyle w:val="0"/>
              <w:jc w:val="both"/>
            </w:pPr>
            <w:r>
              <w:rPr>
                <w:sz w:val="20"/>
              </w:rPr>
              <w:t xml:space="preserve">2024 год - 34015,7 тыс. рублей;</w:t>
            </w:r>
          </w:p>
          <w:p>
            <w:pPr>
              <w:pStyle w:val="0"/>
              <w:jc w:val="both"/>
            </w:pPr>
            <w:r>
              <w:rPr>
                <w:sz w:val="20"/>
              </w:rPr>
              <w:t xml:space="preserve">2025 год - 38164,2 тыс. рублей.</w:t>
            </w:r>
          </w:p>
          <w:p>
            <w:pPr>
              <w:pStyle w:val="0"/>
              <w:jc w:val="both"/>
            </w:pPr>
            <w:r>
              <w:rPr>
                <w:sz w:val="20"/>
              </w:rPr>
              <w:t xml:space="preserve">Планируемый объем финансирования подпрограммы 2 за счет средств федерального бюджета - 308960,0 тыс. рублей. Планируемый объем финансирования из средств консолидированных бюджетов муниципальных образований - 52840,84 тыс.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8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7</w:t>
            </w:r>
          </w:p>
        </w:tc>
        <w:tc>
          <w:tcPr>
            <w:tcW w:w="2324" w:type="dxa"/>
          </w:tcPr>
          <w:p>
            <w:pPr>
              <w:pStyle w:val="0"/>
            </w:pPr>
            <w:r>
              <w:rPr>
                <w:sz w:val="20"/>
              </w:rPr>
              <w:t xml:space="preserve">Конечные результаты реализации подпрограммы 2</w:t>
            </w:r>
          </w:p>
        </w:tc>
        <w:tc>
          <w:tcPr>
            <w:tcW w:w="6236" w:type="dxa"/>
            <w:vAlign w:val="bottom"/>
          </w:tcPr>
          <w:p>
            <w:pPr>
              <w:pStyle w:val="0"/>
              <w:jc w:val="both"/>
            </w:pPr>
            <w:r>
              <w:rPr>
                <w:sz w:val="20"/>
              </w:rPr>
              <w:t xml:space="preserve">Планируется:</w:t>
            </w:r>
          </w:p>
          <w:p>
            <w:pPr>
              <w:pStyle w:val="0"/>
              <w:jc w:val="both"/>
            </w:pPr>
            <w:r>
              <w:rPr>
                <w:sz w:val="20"/>
              </w:rPr>
              <w:t xml:space="preserve">1.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pPr>
              <w:pStyle w:val="0"/>
              <w:jc w:val="both"/>
            </w:pPr>
            <w:r>
              <w:rPr>
                <w:sz w:val="20"/>
              </w:rPr>
              <w:t xml:space="preserve">2 Ежегодное обеспечение доли проведенных водохозяйственных мероприятий от установленного перечня водохозяйственных мероприятий, проводимых за счет субсидий, субвенций, на уровне 100 процентов к 2025 году</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2, описание</w:t>
      </w:r>
    </w:p>
    <w:p>
      <w:pPr>
        <w:pStyle w:val="2"/>
        <w:jc w:val="center"/>
      </w:pPr>
      <w:r>
        <w:rPr>
          <w:sz w:val="20"/>
        </w:rPr>
        <w:t xml:space="preserve">основных проблем в указанной сфере и прогноз развития</w:t>
      </w:r>
    </w:p>
    <w:p>
      <w:pPr>
        <w:pStyle w:val="0"/>
        <w:jc w:val="both"/>
      </w:pPr>
      <w:r>
        <w:rPr>
          <w:sz w:val="20"/>
        </w:rPr>
      </w:r>
    </w:p>
    <w:p>
      <w:pPr>
        <w:pStyle w:val="0"/>
        <w:ind w:firstLine="540"/>
        <w:jc w:val="both"/>
      </w:pPr>
      <w:r>
        <w:rPr>
          <w:sz w:val="20"/>
        </w:rPr>
        <w:t xml:space="preserve">В соответствии со Стратегией области разработана подпрограмма 2 "Развитие водохозяйственного комплекса".</w:t>
      </w:r>
    </w:p>
    <w:p>
      <w:pPr>
        <w:pStyle w:val="0"/>
        <w:spacing w:before="200" w:line-rule="auto"/>
        <w:ind w:firstLine="540"/>
        <w:jc w:val="both"/>
      </w:pPr>
      <w:r>
        <w:rPr>
          <w:sz w:val="20"/>
        </w:rPr>
        <w:t xml:space="preserve">Разработка подпрограммы 2 обусловлена следующими основными причинами:</w:t>
      </w:r>
    </w:p>
    <w:p>
      <w:pPr>
        <w:pStyle w:val="0"/>
        <w:spacing w:before="200" w:line-rule="auto"/>
        <w:ind w:firstLine="540"/>
        <w:jc w:val="both"/>
      </w:pPr>
      <w:r>
        <w:rPr>
          <w:sz w:val="20"/>
        </w:rPr>
        <w:t xml:space="preserve">- высоким уровнем опасности аварий для жизни и здоровья людей, что подтверждается всероссийским опытом ликвидации последствий таких аварий;</w:t>
      </w:r>
    </w:p>
    <w:p>
      <w:pPr>
        <w:pStyle w:val="0"/>
        <w:spacing w:before="200" w:line-rule="auto"/>
        <w:ind w:firstLine="540"/>
        <w:jc w:val="both"/>
      </w:pPr>
      <w:r>
        <w:rPr>
          <w:sz w:val="20"/>
        </w:rPr>
        <w:t xml:space="preserve">- введением регулирования обеспечения безопасности гидротехнических сооружений в большинстве регионов Российской Федерации;</w:t>
      </w:r>
    </w:p>
    <w:p>
      <w:pPr>
        <w:pStyle w:val="0"/>
        <w:spacing w:before="200" w:line-rule="auto"/>
        <w:ind w:firstLine="540"/>
        <w:jc w:val="both"/>
      </w:pPr>
      <w:r>
        <w:rPr>
          <w:sz w:val="20"/>
        </w:rPr>
        <w:t xml:space="preserve">- экономическими трудностями, приводящими к снижению собственниками сооружений затрат на их эксплуатацию ниже минимального необходимого уровня.</w:t>
      </w:r>
    </w:p>
    <w:p>
      <w:pPr>
        <w:pStyle w:val="0"/>
        <w:spacing w:before="200" w:line-rule="auto"/>
        <w:ind w:firstLine="540"/>
        <w:jc w:val="both"/>
      </w:pPr>
      <w:r>
        <w:rPr>
          <w:sz w:val="20"/>
        </w:rPr>
        <w:t xml:space="preserve">Белгородская область относится к числу наиболее маловодных регионов России: водотоками и водоемами занято около 1 процента ее территории. Водный фонд области состоит из поверхностных вод и запасов подземных вод, объем среднегодового стока составляет 2,7 куб. км, в маловодные годы, которые повторяются один раз в 4 года (обеспеченность 75 процентов), - 2 куб. км, а в очень маловодный год (обеспеченность 95 процентов), повторяющийся один раз в 2 года, объем местного стока снижается до 1,3 куб. км, то есть в 2 раза меньше среднегодового. До 70 процентов речного стока уходит на территорию Украины.</w:t>
      </w:r>
    </w:p>
    <w:p>
      <w:pPr>
        <w:pStyle w:val="0"/>
        <w:spacing w:before="200" w:line-rule="auto"/>
        <w:ind w:firstLine="540"/>
        <w:jc w:val="both"/>
      </w:pPr>
      <w:r>
        <w:rPr>
          <w:sz w:val="20"/>
        </w:rPr>
        <w:t xml:space="preserve">На территории области имеется довольно развитая речная сеть, принадлежащая бассейнам рек Дона (78 процентов) и Днепра (22 процента). Характерно, что все реки, за исключением Оскола и его притока - реки Убля, берут начало на территории области. Наиболее крупными водотоками в области являются: р. Северский Донец, р. Тихая Сосна, р. Оскол, р. Ворскла, причем все они, за исключением р. Тихая Сосна, являются трансграничными водотоками, уходят на территорию Украины.</w:t>
      </w:r>
    </w:p>
    <w:p>
      <w:pPr>
        <w:pStyle w:val="0"/>
        <w:spacing w:before="200" w:line-rule="auto"/>
        <w:ind w:firstLine="540"/>
        <w:jc w:val="both"/>
      </w:pPr>
      <w:r>
        <w:rPr>
          <w:sz w:val="20"/>
        </w:rPr>
        <w:t xml:space="preserve">Кроме того, для области характерно обилие искусственных прудов и водохранилищ - построено свыше 1000 прудов и водохранилищ, из них 421 - объемом 100 тыс. куб. м и более. Наиболее крупными водохранилищами являются Старооскольское и Белгородское, полный объем которых соответственно 86 млн куб. м и 76 млн куб. м, которые построены для целей промышленного и сельскохозяйственного водоснабжения.</w:t>
      </w:r>
    </w:p>
    <w:p>
      <w:pPr>
        <w:pStyle w:val="0"/>
        <w:spacing w:before="200" w:line-rule="auto"/>
        <w:ind w:firstLine="540"/>
        <w:jc w:val="both"/>
      </w:pPr>
      <w:r>
        <w:rPr>
          <w:sz w:val="20"/>
        </w:rPr>
        <w:t xml:space="preserve">Взаимодействие с Украиной осуществляется в рамках Соглашения о совместном использовании и охране трансграничных водных объектов от 19 октября 1992 года.</w:t>
      </w:r>
    </w:p>
    <w:p>
      <w:pPr>
        <w:pStyle w:val="0"/>
        <w:spacing w:before="200" w:line-rule="auto"/>
        <w:ind w:firstLine="540"/>
        <w:jc w:val="both"/>
      </w:pPr>
      <w:r>
        <w:rPr>
          <w:sz w:val="20"/>
        </w:rPr>
        <w:t xml:space="preserve">По данным за 2012 год, на учете в отделе водных ресурсов по Белгородской области Донского бассейнового водного управления состоит 436 предприятий - водопользователей. Из них 416 предприятий осуществляют забор воды из водных объектов, в том числе из поверхностных водных объектов - 29 предприятий и 406 - из подземных. Общий забор воды отчитывающимися водопользователями из природных водных объектов в 2012 году составил 320,68 млн куб. м. Из поверхностных водных объектов забрано 34,37 млн. куб. м, из подземных - 286,31 млн куб. м (в том числе 117,89 млн куб. м шахтной воды). По состоянию на 1 января 2013 года 29 предприятий осуществляли забор воды из поверхностных водозаборов.</w:t>
      </w:r>
    </w:p>
    <w:p>
      <w:pPr>
        <w:pStyle w:val="0"/>
        <w:spacing w:before="200" w:line-rule="auto"/>
        <w:ind w:firstLine="540"/>
        <w:jc w:val="both"/>
      </w:pPr>
      <w:r>
        <w:rPr>
          <w:sz w:val="20"/>
        </w:rPr>
        <w:t xml:space="preserve">Сброс сточных вод в поверхностные водные объекты осуществляли 37 водопользователей. Общий сброс сточных вод в поверхностные водные объекты в 2012 году составил 124,09 млн куб. м. Сброс сточных вод, подлежащих очистке, - 106,95 млн куб. м, из них загрязненных сточных вод - 72,33 млн куб. м, нормативно очищенных на очистных сооружениях - 34,61 млн куб. м.</w:t>
      </w:r>
    </w:p>
    <w:p>
      <w:pPr>
        <w:pStyle w:val="0"/>
        <w:spacing w:before="200" w:line-rule="auto"/>
        <w:ind w:firstLine="540"/>
        <w:jc w:val="both"/>
      </w:pPr>
      <w:r>
        <w:rPr>
          <w:sz w:val="20"/>
        </w:rPr>
        <w:t xml:space="preserve">По состоянию на 1 января 2013 года в зоне деятельности отдела состояло на учете 26 предприятий, имеющих 27 очистных сооружений, из них эффективно работают сооружения на 7 предприятиях.</w:t>
      </w:r>
    </w:p>
    <w:p>
      <w:pPr>
        <w:pStyle w:val="0"/>
        <w:spacing w:before="200" w:line-rule="auto"/>
        <w:ind w:firstLine="540"/>
        <w:jc w:val="both"/>
      </w:pPr>
      <w:r>
        <w:rPr>
          <w:sz w:val="20"/>
        </w:rPr>
        <w:t xml:space="preserve">Экстремально высоких уровней загрязнения в 2012 году на водных объектах бассейна не отмечалось. Высокие уровни загрязнения водозаборов отмечались по азоту нитритному и азоту аммонийному на следующих водных объектах:</w:t>
      </w:r>
    </w:p>
    <w:p>
      <w:pPr>
        <w:pStyle w:val="0"/>
        <w:spacing w:before="200" w:line-rule="auto"/>
        <w:ind w:firstLine="540"/>
        <w:jc w:val="both"/>
      </w:pPr>
      <w:r>
        <w:rPr>
          <w:sz w:val="20"/>
        </w:rPr>
        <w:t xml:space="preserve">- река Оскол по азоту нитритному: в марте - 13,7 предельно допустимой концентрации (далее - ПДК) (25 км ниже г. Старый Оскол в черте с. Ивановка), в мае - 10,2 ПДК (25 км ниже г. Старый Оскол в черте с. Ивановка); в июне - 15,5 ПДК (25 км ниже г. Старый Оскол в черте с. Ивановка); в августе - 10,4 ПДК (0,5 км ниже сброса сточных вод МУП "Горводоканал"), 18,1 ПДК (25 км ниже г. Старый Оскол в черте с. Ивановка); в сентябре - 15,5 ПДК (0,5 км ниже сброса сточных вод МУП "Горводоканал"), 12,0 ПДК (25 км ниже г. Старый Оскол в черте с. Ивановка), в октябре - 14,1 ПДК (0,5 км ниже сброса сточных вод МУП "Горводоканал"), 14,0 ПДК (25 км ниже г. Старый Оскол в черте с. Ивановка);</w:t>
      </w:r>
    </w:p>
    <w:p>
      <w:pPr>
        <w:pStyle w:val="0"/>
        <w:spacing w:before="200" w:line-rule="auto"/>
        <w:ind w:firstLine="540"/>
        <w:jc w:val="both"/>
      </w:pPr>
      <w:r>
        <w:rPr>
          <w:sz w:val="20"/>
        </w:rPr>
        <w:t xml:space="preserve">- река Осколец по азоту нитритному: в июне - 14,0 ПДК (9 км ниже г. Губкин в черте с. Лукьяновка), в створе устья реки г. Старый Оскол - 11,6 ПДК, в августе - 21,6 ПДК (9 км ниже г. Губкин в черте с. Лукьяновка), в октябре - 14,0 ПДК (9 км ниже г. Губкин в черте с. Лукьяновка), в декабре - 14,3 ПДК (0,7 км выше г. Губкин в черте с. Салтыково) и 14,0 ПДК (9 км ниже г. Губкин в черте с. Лукьяновка);</w:t>
      </w:r>
    </w:p>
    <w:p>
      <w:pPr>
        <w:pStyle w:val="0"/>
        <w:spacing w:before="200" w:line-rule="auto"/>
        <w:ind w:firstLine="540"/>
        <w:jc w:val="both"/>
      </w:pPr>
      <w:r>
        <w:rPr>
          <w:sz w:val="20"/>
        </w:rPr>
        <w:t xml:space="preserve">- Белгородское водохранилище по азоту нитритному: в сентябре - 13,5 ПДК (6 км ниже г. Белгород) и 13,8 ПДК (21 км ниже г. Белгород); в октябре - 13,5 ПДК (21 км ниже г. Белгород); в декабре: по азоту аммонийному - 10,4 ПДК и по азоту нитритному - 19,0 ПДК (6 км ниже г. Белгород);</w:t>
      </w:r>
    </w:p>
    <w:p>
      <w:pPr>
        <w:pStyle w:val="0"/>
        <w:spacing w:before="200" w:line-rule="auto"/>
        <w:ind w:firstLine="540"/>
        <w:jc w:val="both"/>
      </w:pPr>
      <w:r>
        <w:rPr>
          <w:sz w:val="20"/>
        </w:rPr>
        <w:t xml:space="preserve">- река Нежеголь: по азоту нитритному в апреле - 16,6 ПДК (16 км выше г. Шебекино);</w:t>
      </w:r>
    </w:p>
    <w:p>
      <w:pPr>
        <w:pStyle w:val="0"/>
        <w:spacing w:before="200" w:line-rule="auto"/>
        <w:ind w:firstLine="540"/>
        <w:jc w:val="both"/>
      </w:pPr>
      <w:r>
        <w:rPr>
          <w:sz w:val="20"/>
        </w:rPr>
        <w:t xml:space="preserve">- река Тихая Сосна: по азоту нитритному в апреле - 17,4 ПДК (1 км выше г. Алексеевка) и 16,2 ПДК (0,5 км ниже г. Алексеевка).</w:t>
      </w:r>
    </w:p>
    <w:p>
      <w:pPr>
        <w:pStyle w:val="0"/>
        <w:spacing w:before="200" w:line-rule="auto"/>
        <w:ind w:firstLine="540"/>
        <w:jc w:val="both"/>
      </w:pPr>
      <w:r>
        <w:rPr>
          <w:sz w:val="20"/>
        </w:rPr>
        <w:t xml:space="preserve">Прослеживается тенденция уменьшения поверхностного водозабора при увеличении подземного водозабора в основном за счет увеличения забора воды на объектах сельского хозяйства - птицефабриках и свинокомплексах.</w:t>
      </w:r>
    </w:p>
    <w:p>
      <w:pPr>
        <w:pStyle w:val="0"/>
        <w:spacing w:before="200" w:line-rule="auto"/>
        <w:ind w:firstLine="540"/>
        <w:jc w:val="both"/>
      </w:pPr>
      <w:r>
        <w:rPr>
          <w:sz w:val="20"/>
        </w:rPr>
        <w:t xml:space="preserve">Остаются проблемными вопросы поддержания экологически полноценного состояния рек области и безопасности функционирования гидротехнических сооружений.</w:t>
      </w:r>
    </w:p>
    <w:p>
      <w:pPr>
        <w:pStyle w:val="0"/>
        <w:spacing w:before="200" w:line-rule="auto"/>
        <w:ind w:firstLine="540"/>
        <w:jc w:val="both"/>
      </w:pPr>
      <w:r>
        <w:rPr>
          <w:sz w:val="20"/>
        </w:rPr>
        <w:t xml:space="preserve">Деградация рек происходит из-за возрастающей антропогенной нагрузки. Слабый уклон местности определяет медленное течение и сильную извилистость их русел, заиление, загрязнение и, как следствие, обмеление. В результате многие реки утрачивают свои естественно-природные качества и нуждаются в восстановлении. За последние 200 лет длина и густота речной сети на всей территории Белгородской области сократилась по сравнению со второй половиной XVIII века в 2 раза, а в бассейне реки Оскол - в 3 раза. За последние 50 лет величины минимального стока рек уменьшились на 20 процентов. В лесостепи интенсивность заиления малых рек постоянно увеличивается, а в степной зоне темпы отмирания рек стремительно растут.</w:t>
      </w:r>
    </w:p>
    <w:p>
      <w:pPr>
        <w:pStyle w:val="0"/>
        <w:spacing w:before="200" w:line-rule="auto"/>
        <w:ind w:firstLine="540"/>
        <w:jc w:val="both"/>
      </w:pPr>
      <w:r>
        <w:rPr>
          <w:sz w:val="20"/>
        </w:rPr>
        <w:t xml:space="preserve">Основным фактором, оказывающим негативное влияние на развитие водохозяйственного комплекса, является отсутствие системного подхода к модернизации и восстановлению данной отрасли, подкрепленного финансированием.</w:t>
      </w:r>
    </w:p>
    <w:p>
      <w:pPr>
        <w:pStyle w:val="0"/>
        <w:spacing w:before="200" w:line-rule="auto"/>
        <w:ind w:firstLine="540"/>
        <w:jc w:val="both"/>
      </w:pPr>
      <w:r>
        <w:rPr>
          <w:sz w:val="20"/>
        </w:rPr>
        <w:t xml:space="preserve">Текущее состояние водохозяйственного комплекса Белгородской области имеет серьезные социально-экономические проблемы. Состояние и эксплуатация гидротехнических сооружений на территории Белгородской области остаются неудовлетворительными, что с каждым годом увеличивает вероятность возникновения крупных аварий с неблагоприятными последствиями для населения. Результаты обследования гидротехнических сооружений на территории области свидетельствуют о том, что 55 из них находится в аварийном и предаварийном состоянии.</w:t>
      </w:r>
    </w:p>
    <w:p>
      <w:pPr>
        <w:pStyle w:val="0"/>
        <w:spacing w:before="200" w:line-rule="auto"/>
        <w:ind w:firstLine="540"/>
        <w:jc w:val="both"/>
      </w:pPr>
      <w:r>
        <w:rPr>
          <w:sz w:val="20"/>
        </w:rPr>
        <w:t xml:space="preserve">В области гидротехнические сооружения прудов и водохранилищ, как правило, представляют собой земляные плотины с водосбросами и водоспусками различных типов. Сооружения Белгородского и Старооскольского водохранилищ относятся к III классу капитальности, все остальные сооружения - к IV классу.</w:t>
      </w:r>
    </w:p>
    <w:p>
      <w:pPr>
        <w:pStyle w:val="0"/>
        <w:spacing w:before="200" w:line-rule="auto"/>
        <w:ind w:firstLine="540"/>
        <w:jc w:val="both"/>
      </w:pPr>
      <w:r>
        <w:rPr>
          <w:sz w:val="20"/>
        </w:rPr>
        <w:t xml:space="preserve">За последние годы эксплуатации гидроузлов, на большинстве из них образовалось значительное количество дефектов и локальных повреждений. Практически все сооружения нуждаются в проведении ремонтных работ различной степени капитальности. К тому же нарушаются правила эксплуатации гидроузлов, отсутствует постоянный надзор за сооружениями.</w:t>
      </w:r>
    </w:p>
    <w:p>
      <w:pPr>
        <w:pStyle w:val="0"/>
        <w:spacing w:before="200" w:line-rule="auto"/>
        <w:ind w:firstLine="540"/>
        <w:jc w:val="both"/>
      </w:pPr>
      <w:r>
        <w:rPr>
          <w:sz w:val="20"/>
        </w:rPr>
        <w:t xml:space="preserve">Инструментальные наблюдения за параметрами гидротехнических сооружений не проводятся, контрольно-измерительная аппаратура на сооружениях отсутствует. На ряде гидроузлов основные водоподпорные сооружения - земляные плотины - находятся в удовлетворительном состоянии, а водопроводящие сооружения - паводковые водосбросы, водоспуски - находятся в предаварийном или аварийном состоянии. Последнее особенно относится к подъемному гидромеханическому оборудованию, к состоянию бетонных поверхностей быстротоков, гасителей и рисберм.</w:t>
      </w:r>
    </w:p>
    <w:p>
      <w:pPr>
        <w:pStyle w:val="0"/>
        <w:spacing w:before="200" w:line-rule="auto"/>
        <w:ind w:firstLine="540"/>
        <w:jc w:val="both"/>
      </w:pPr>
      <w:r>
        <w:rPr>
          <w:sz w:val="20"/>
        </w:rPr>
        <w:t xml:space="preserve">К объективной причине снижения уровня безопасности относится и временной фактор. С течением времени под влиянием природных и техногенных нагрузок первоначальное состояние сооружений постепенно ухудшается.</w:t>
      </w:r>
    </w:p>
    <w:p>
      <w:pPr>
        <w:pStyle w:val="0"/>
        <w:spacing w:before="200" w:line-rule="auto"/>
        <w:ind w:firstLine="540"/>
        <w:jc w:val="both"/>
      </w:pPr>
      <w:r>
        <w:rPr>
          <w:sz w:val="20"/>
        </w:rPr>
        <w:t xml:space="preserve">К субъективной причине снижения уровня безопасности сооружений относится недооценка со стороны их владельцев всей тяжести последствий возможных аварий на сооружениях.</w:t>
      </w:r>
    </w:p>
    <w:p>
      <w:pPr>
        <w:pStyle w:val="0"/>
        <w:spacing w:before="200" w:line-rule="auto"/>
        <w:ind w:firstLine="540"/>
        <w:jc w:val="both"/>
      </w:pPr>
      <w:r>
        <w:rPr>
          <w:sz w:val="20"/>
        </w:rPr>
        <w:t xml:space="preserve">Особую опасность для населения и территории представляют бесхозяйные гидротехнические сооружения, требующие безотлагательного решения вопроса их принадлежности для обеспечения надлежащего технического состояния и уровня эксплуатации.</w:t>
      </w:r>
    </w:p>
    <w:p>
      <w:pPr>
        <w:pStyle w:val="0"/>
        <w:spacing w:before="200" w:line-rule="auto"/>
        <w:ind w:firstLine="540"/>
        <w:jc w:val="both"/>
      </w:pPr>
      <w:r>
        <w:rPr>
          <w:sz w:val="20"/>
        </w:rPr>
        <w:t xml:space="preserve">Необходимо отметить, что в случае развития ситуации, когда меры, направленные на повышение уровня безопасности гидротехнических сооружений, не будут предприняты, увеличится риск возникновения чрезвычайных ситуаций, связанных с разрушением плотин, дорог, нарушением энергоснабжения и связи, а также затоплением территорий с расположенными на них жилыми, промышленными строениями и объектами инфраструктуры.</w:t>
      </w:r>
    </w:p>
    <w:p>
      <w:pPr>
        <w:pStyle w:val="0"/>
        <w:spacing w:before="200" w:line-rule="auto"/>
        <w:ind w:firstLine="540"/>
        <w:jc w:val="both"/>
      </w:pPr>
      <w:r>
        <w:rPr>
          <w:sz w:val="20"/>
        </w:rPr>
        <w:t xml:space="preserve">Пути решения указанных проблем заключаются в осуществлении комплекса водохозяйственных мероприятий, связанных с использованием и охраной водных объектов, включая рационализацию использования водных ресурсов при соблюдении интересов всех водопользователей, охрану водных объектов, предупреждение негативного воздействия вод и обеспечение безопасности гидротехнических сооружений. В целях обеспечения защищенности населения от негативного воздействия вод и снижения размеров ущерба, строительство и реконструкция гидротехнических сооружений будут проводиться, прежде всего, в наиболее паводкоопасных и подверженных подтоплению районах.</w:t>
      </w:r>
    </w:p>
    <w:p>
      <w:pPr>
        <w:pStyle w:val="0"/>
        <w:spacing w:before="200" w:line-rule="auto"/>
        <w:ind w:firstLine="540"/>
        <w:jc w:val="both"/>
      </w:pPr>
      <w:r>
        <w:rPr>
          <w:sz w:val="20"/>
        </w:rPr>
        <w:t xml:space="preserve">Такой подход позволит объединить в единую систему отдельные мероприятия и добиться максимального социально-экономического эффекта, выраженного в гарантированном обеспечении организации охраны природных комплексов и объектов, сокращении уровня экологического воздействия на водные объекты, снижении заболеваемости и увеличении продолжительности жизни населения, сбалансированном развитии территорий и отраслей экономики Белгородской области, повышении защищенности населения и территорий от наводнений и другого негативного воздействия вод, регулировании использования природных ресурсов на водных объектах, относящихся к особо охраняемым природным территориям, формировании и проведении единой государственной политики в области использования и охраны водных ресурсов и создании условий для эффективного взаимодействия всех участников водохозяйственного комплекса.</w:t>
      </w:r>
    </w:p>
    <w:p>
      <w:pPr>
        <w:pStyle w:val="0"/>
        <w:jc w:val="both"/>
      </w:pPr>
      <w:r>
        <w:rPr>
          <w:sz w:val="20"/>
        </w:rPr>
      </w:r>
    </w:p>
    <w:p>
      <w:pPr>
        <w:pStyle w:val="2"/>
        <w:outlineLvl w:val="2"/>
        <w:jc w:val="center"/>
      </w:pPr>
      <w:r>
        <w:rPr>
          <w:sz w:val="20"/>
        </w:rPr>
        <w:t xml:space="preserve">2. Цели, задачи, сроки и этапы реализации подпрограммы 2</w:t>
      </w:r>
    </w:p>
    <w:p>
      <w:pPr>
        <w:pStyle w:val="0"/>
        <w:jc w:val="both"/>
      </w:pPr>
      <w:r>
        <w:rPr>
          <w:sz w:val="20"/>
        </w:rPr>
      </w:r>
    </w:p>
    <w:p>
      <w:pPr>
        <w:pStyle w:val="0"/>
        <w:ind w:firstLine="540"/>
        <w:jc w:val="both"/>
      </w:pPr>
      <w:r>
        <w:rPr>
          <w:sz w:val="20"/>
        </w:rPr>
        <w:t xml:space="preserve">Целью подпрограммы 2 является создание условий для эффективного развития водохозяйственного комплекса. Для достижения намеченной цели необходимо решить следующие задачи:</w:t>
      </w:r>
    </w:p>
    <w:p>
      <w:pPr>
        <w:pStyle w:val="0"/>
        <w:spacing w:before="200" w:line-rule="auto"/>
        <w:ind w:firstLine="540"/>
        <w:jc w:val="both"/>
      </w:pPr>
      <w:r>
        <w:rPr>
          <w:sz w:val="20"/>
        </w:rPr>
        <w:t xml:space="preserve">- восстановление и экологическая реабилитация водных объектов;</w:t>
      </w:r>
    </w:p>
    <w:p>
      <w:pPr>
        <w:pStyle w:val="0"/>
        <w:spacing w:before="200" w:line-rule="auto"/>
        <w:ind w:firstLine="540"/>
        <w:jc w:val="both"/>
      </w:pPr>
      <w:r>
        <w:rPr>
          <w:sz w:val="20"/>
        </w:rPr>
        <w:t xml:space="preserve">- повышение эксплуатационной надежности гидротехнических сооружений, в том числе бесхозяйных, путем их приведения в безопасное техническое состояние;</w:t>
      </w:r>
    </w:p>
    <w:p>
      <w:pPr>
        <w:pStyle w:val="0"/>
        <w:spacing w:before="200" w:line-rule="auto"/>
        <w:ind w:firstLine="540"/>
        <w:jc w:val="both"/>
      </w:pPr>
      <w:r>
        <w:rPr>
          <w:sz w:val="20"/>
        </w:rPr>
        <w:t xml:space="preserve">- улучшение экологического состояния гидрографической сети;</w:t>
      </w:r>
    </w:p>
    <w:p>
      <w:pPr>
        <w:pStyle w:val="0"/>
        <w:jc w:val="both"/>
      </w:pPr>
      <w:r>
        <w:rPr>
          <w:sz w:val="20"/>
        </w:rPr>
        <w:t xml:space="preserve">(абзац введен </w:t>
      </w:r>
      <w:hyperlink w:history="0" r:id="rId89"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 предупреждение чрезвычайных ситуаций межмуниципального и регионального характера.</w:t>
      </w:r>
    </w:p>
    <w:p>
      <w:pPr>
        <w:pStyle w:val="0"/>
        <w:jc w:val="both"/>
      </w:pPr>
      <w:r>
        <w:rPr>
          <w:sz w:val="20"/>
        </w:rPr>
        <w:t xml:space="preserve">(абзац введен </w:t>
      </w:r>
      <w:hyperlink w:history="0" r:id="rId90"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Реализация подпрограммы 2 осуществляется в два этапа: 1 - 2014 - 2020 годы;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2</w:t>
      </w:r>
    </w:p>
    <w:p>
      <w:pPr>
        <w:pStyle w:val="0"/>
        <w:jc w:val="both"/>
      </w:pPr>
      <w:r>
        <w:rPr>
          <w:sz w:val="20"/>
        </w:rPr>
      </w:r>
    </w:p>
    <w:p>
      <w:pPr>
        <w:pStyle w:val="0"/>
        <w:ind w:firstLine="540"/>
        <w:jc w:val="both"/>
      </w:pPr>
      <w:r>
        <w:rPr>
          <w:sz w:val="20"/>
        </w:rPr>
        <w:t xml:space="preserve">Подпрограмма 2 обусловлена необходимостью реализации мероприятий федеральной целевой программы "Развитие водохозяйственного комплекса Российской Федерации в 2012 - 2020 годах", государственной программы Российской Федерации "Воспроизводство и использование природных ресурсов" и предусматривает создание условий для эффективного развития водохозяйственного комплекса области, предотвращение негативного воздействия вод и снижение ущербов от наводнений, обеспечение высокого уровня безопасности и сокращение количества бесхозяйных гидротехнических сооружений.</w:t>
      </w:r>
    </w:p>
    <w:p>
      <w:pPr>
        <w:pStyle w:val="0"/>
        <w:jc w:val="both"/>
      </w:pPr>
      <w:r>
        <w:rPr>
          <w:sz w:val="20"/>
        </w:rPr>
        <w:t xml:space="preserve">(в ред. </w:t>
      </w:r>
      <w:hyperlink w:history="0" r:id="rId91"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Достижение заявленной цели и решение поставленных задач подпрограммы 2 будет осуществляться путем реализации основных мероприятий.</w:t>
      </w:r>
    </w:p>
    <w:p>
      <w:pPr>
        <w:pStyle w:val="0"/>
        <w:spacing w:before="200" w:line-rule="auto"/>
        <w:ind w:firstLine="540"/>
        <w:jc w:val="both"/>
      </w:pPr>
      <w:r>
        <w:rPr>
          <w:sz w:val="20"/>
        </w:rPr>
        <w:t xml:space="preserve">В рамках решения задачи 1 "Восстановление и экологическая реабилитация водных объектов" будет реализовываться основное мероприятие 2.1 "Осуществление органами государственной власти субъекта Российской Федерации отдельных полномочий в области водных отношений", которое предусматривает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территории Белгородской области, осуществление мер по охране водных объектов или их частей, находящихся в федеральной собственности и расположенных на территории Белгородской области.</w:t>
      </w:r>
    </w:p>
    <w:p>
      <w:pPr>
        <w:pStyle w:val="0"/>
        <w:spacing w:before="200" w:line-rule="auto"/>
        <w:ind w:firstLine="540"/>
        <w:jc w:val="both"/>
      </w:pPr>
      <w:r>
        <w:rPr>
          <w:sz w:val="20"/>
        </w:rPr>
        <w:t xml:space="preserve">В рамках решения задачи 2 "Повышение эксплуатационной надежности гидротехнических сооружений, в том числе бесхозяйных, путем их приведения в безопасное техническое состояние" будет реализовываться основное мероприятие 2.2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 которое предусматривает:</w:t>
      </w:r>
    </w:p>
    <w:p>
      <w:pPr>
        <w:pStyle w:val="0"/>
        <w:spacing w:before="200" w:line-rule="auto"/>
        <w:ind w:firstLine="540"/>
        <w:jc w:val="both"/>
      </w:pPr>
      <w:r>
        <w:rPr>
          <w:sz w:val="20"/>
        </w:rPr>
        <w:t xml:space="preserve">- защиту от негативного воздействия вод населения и объектов экономики;</w:t>
      </w:r>
    </w:p>
    <w:p>
      <w:pPr>
        <w:pStyle w:val="0"/>
        <w:spacing w:before="200" w:line-rule="auto"/>
        <w:ind w:firstLine="540"/>
        <w:jc w:val="both"/>
      </w:pPr>
      <w:r>
        <w:rPr>
          <w:sz w:val="20"/>
        </w:rPr>
        <w:t xml:space="preserve">- восстановление и экологическая реабилитация водных объектов;</w:t>
      </w:r>
    </w:p>
    <w:p>
      <w:pPr>
        <w:pStyle w:val="0"/>
        <w:spacing w:before="200" w:line-rule="auto"/>
        <w:ind w:firstLine="540"/>
        <w:jc w:val="both"/>
      </w:pPr>
      <w:r>
        <w:rPr>
          <w:sz w:val="20"/>
        </w:rPr>
        <w:t xml:space="preserve">- гарантированное обеспечение водными ресурсами.</w:t>
      </w:r>
    </w:p>
    <w:p>
      <w:pPr>
        <w:pStyle w:val="0"/>
        <w:spacing w:before="200" w:line-rule="auto"/>
        <w:ind w:firstLine="540"/>
        <w:jc w:val="both"/>
      </w:pPr>
      <w:r>
        <w:rPr>
          <w:sz w:val="20"/>
        </w:rPr>
        <w:t xml:space="preserve">В рамках решения задачи 3 "Улучшение экологического состояния гидрографической сети" будет реализовываться основное мероприятие 2.G8 "Сохранение уникальных водных объектов", которое предусматривает реализацию мероприятий в рамках федерального проекта "Сохранение уникальных водных объектов" национального проекта "Экология".</w:t>
      </w:r>
    </w:p>
    <w:p>
      <w:pPr>
        <w:pStyle w:val="0"/>
        <w:jc w:val="both"/>
      </w:pPr>
      <w:r>
        <w:rPr>
          <w:sz w:val="20"/>
        </w:rPr>
        <w:t xml:space="preserve">(абзац введен </w:t>
      </w:r>
      <w:hyperlink w:history="0" r:id="rId92"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В рамках решения задачи 4 "Предупреждение чрезвычайных ситуаций межмуниципального и регионального характера" будет реализовываться основное мероприятие 2.3 "Проведение мероприятий по предупреждению чрезвычайных ситуаций межмуниципального и регионального характера".</w:t>
      </w:r>
    </w:p>
    <w:p>
      <w:pPr>
        <w:pStyle w:val="0"/>
        <w:jc w:val="both"/>
      </w:pPr>
      <w:r>
        <w:rPr>
          <w:sz w:val="20"/>
        </w:rPr>
        <w:t xml:space="preserve">(абзац введен </w:t>
      </w:r>
      <w:hyperlink w:history="0" r:id="rId93"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Система основных мероприятий и показателей подпрограммы 2 представлена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hyperlink w:history="0" w:anchor="P10362"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образований Белгородской области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представлен в приложении N 7 к государственной программе.</w:t>
      </w:r>
    </w:p>
    <w:p>
      <w:pPr>
        <w:pStyle w:val="0"/>
        <w:jc w:val="both"/>
      </w:pPr>
      <w:r>
        <w:rPr>
          <w:sz w:val="20"/>
        </w:rPr>
        <w:t xml:space="preserve">(в ред. </w:t>
      </w:r>
      <w:hyperlink w:history="0" r:id="rId94"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jc w:val="both"/>
      </w:pPr>
      <w:r>
        <w:rPr>
          <w:sz w:val="20"/>
        </w:rPr>
      </w:r>
    </w:p>
    <w:p>
      <w:pPr>
        <w:pStyle w:val="2"/>
        <w:outlineLvl w:val="2"/>
        <w:jc w:val="center"/>
      </w:pPr>
      <w:r>
        <w:rPr>
          <w:sz w:val="20"/>
        </w:rPr>
        <w:t xml:space="preserve">4. Прогноз конечных результатов подпрограммы 2.</w:t>
      </w:r>
    </w:p>
    <w:p>
      <w:pPr>
        <w:pStyle w:val="2"/>
        <w:jc w:val="center"/>
      </w:pPr>
      <w:r>
        <w:rPr>
          <w:sz w:val="20"/>
        </w:rPr>
        <w:t xml:space="preserve">Перечень показателей подпрограммы 2</w:t>
      </w:r>
    </w:p>
    <w:p>
      <w:pPr>
        <w:pStyle w:val="0"/>
        <w:jc w:val="both"/>
      </w:pPr>
      <w:r>
        <w:rPr>
          <w:sz w:val="20"/>
        </w:rPr>
      </w:r>
    </w:p>
    <w:p>
      <w:pPr>
        <w:pStyle w:val="0"/>
        <w:ind w:firstLine="540"/>
        <w:jc w:val="both"/>
      </w:pPr>
      <w:r>
        <w:rPr>
          <w:sz w:val="20"/>
        </w:rPr>
        <w:t xml:space="preserve">В результате реализации подпрограммы 2 планируется достижение следующих конечных результатов:</w:t>
      </w:r>
    </w:p>
    <w:p>
      <w:pPr>
        <w:pStyle w:val="0"/>
        <w:spacing w:before="200" w:line-rule="auto"/>
        <w:ind w:firstLine="540"/>
        <w:jc w:val="both"/>
      </w:pPr>
      <w:r>
        <w:rPr>
          <w:sz w:val="20"/>
        </w:rPr>
        <w:t xml:space="preserve">- увеличение доли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до 38 процентов к 2016 году;</w:t>
      </w:r>
    </w:p>
    <w:p>
      <w:pPr>
        <w:pStyle w:val="0"/>
        <w:spacing w:before="200" w:line-rule="auto"/>
        <w:ind w:firstLine="540"/>
        <w:jc w:val="both"/>
      </w:pPr>
      <w:r>
        <w:rPr>
          <w:sz w:val="20"/>
        </w:rPr>
        <w:t xml:space="preserve">- ежегодное обеспечение доли проведенных водохозяйственных мероприятий от установленного перечня водохозяйственных мероприятий, проводимых за счет субсидий, субвенций, на уровне 100 процентов к 2025 году.</w:t>
      </w:r>
    </w:p>
    <w:p>
      <w:pPr>
        <w:pStyle w:val="0"/>
        <w:spacing w:before="200" w:line-rule="auto"/>
        <w:ind w:firstLine="540"/>
        <w:jc w:val="both"/>
      </w:pPr>
      <w:r>
        <w:rPr>
          <w:sz w:val="20"/>
        </w:rPr>
        <w:t xml:space="preserve">Сведения о динамике значений показателя конечного и непосредственного результатов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5. Ресурсное обеспечение подпрограммы 2</w:t>
      </w:r>
    </w:p>
    <w:p>
      <w:pPr>
        <w:pStyle w:val="2"/>
        <w:jc w:val="center"/>
      </w:pPr>
      <w:r>
        <w:rPr>
          <w:sz w:val="20"/>
        </w:rPr>
        <w:t xml:space="preserve">(в разрезе главных распорядителей средств областного</w:t>
      </w:r>
    </w:p>
    <w:p>
      <w:pPr>
        <w:pStyle w:val="2"/>
        <w:jc w:val="center"/>
      </w:pPr>
      <w:r>
        <w:rPr>
          <w:sz w:val="20"/>
        </w:rPr>
        <w:t xml:space="preserve">бюджета, основных мероприятий, а также по</w:t>
      </w:r>
    </w:p>
    <w:p>
      <w:pPr>
        <w:pStyle w:val="2"/>
        <w:jc w:val="center"/>
      </w:pPr>
      <w:r>
        <w:rPr>
          <w:sz w:val="20"/>
        </w:rPr>
        <w:t xml:space="preserve">годам реализации подпрограммы 2)</w:t>
      </w:r>
    </w:p>
    <w:p>
      <w:pPr>
        <w:pStyle w:val="0"/>
        <w:jc w:val="both"/>
      </w:pPr>
      <w:r>
        <w:rPr>
          <w:sz w:val="20"/>
        </w:rPr>
      </w:r>
    </w:p>
    <w:p>
      <w:pPr>
        <w:pStyle w:val="0"/>
        <w:ind w:firstLine="540"/>
        <w:jc w:val="both"/>
      </w:pPr>
      <w:r>
        <w:rPr>
          <w:sz w:val="20"/>
        </w:rPr>
        <w:t xml:space="preserve">Планируемые объемы финансирования подпрограммы 2 в разрезе источников финансирования по годам реализации представлены в таблице 6.</w:t>
      </w:r>
    </w:p>
    <w:p>
      <w:pPr>
        <w:pStyle w:val="0"/>
        <w:jc w:val="both"/>
      </w:pPr>
      <w:r>
        <w:rPr>
          <w:sz w:val="20"/>
        </w:rPr>
      </w:r>
    </w:p>
    <w:p>
      <w:pPr>
        <w:pStyle w:val="0"/>
        <w:outlineLvl w:val="3"/>
        <w:jc w:val="right"/>
      </w:pPr>
      <w:r>
        <w:rPr>
          <w:sz w:val="20"/>
        </w:rPr>
        <w:t xml:space="preserve">Таблица 6</w:t>
      </w:r>
    </w:p>
    <w:p>
      <w:pPr>
        <w:pStyle w:val="0"/>
        <w:jc w:val="center"/>
      </w:pPr>
      <w:r>
        <w:rPr>
          <w:sz w:val="20"/>
        </w:rPr>
        <w:t xml:space="preserve">(в ред. </w:t>
      </w:r>
      <w:hyperlink w:history="0" r:id="rId95"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right"/>
      </w:pPr>
      <w:r>
        <w:rPr>
          <w:sz w:val="20"/>
        </w:rPr>
      </w:r>
    </w:p>
    <w:p>
      <w:pPr>
        <w:pStyle w:val="2"/>
        <w:outlineLvl w:val="4"/>
        <w:jc w:val="center"/>
      </w:pPr>
      <w:r>
        <w:rPr>
          <w:sz w:val="20"/>
        </w:rPr>
        <w:t xml:space="preserve">Планируемые объемы финансирования подпрограммы 2</w:t>
      </w:r>
    </w:p>
    <w:p>
      <w:pPr>
        <w:pStyle w:val="2"/>
        <w:jc w:val="center"/>
      </w:pPr>
      <w:r>
        <w:rPr>
          <w:sz w:val="20"/>
        </w:rPr>
        <w:t xml:space="preserve">на 1 этапе реализации</w:t>
      </w:r>
    </w:p>
    <w:p>
      <w:pPr>
        <w:pStyle w:val="0"/>
        <w:jc w:val="both"/>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94"/>
        <w:gridCol w:w="1361"/>
        <w:gridCol w:w="1249"/>
        <w:gridCol w:w="1928"/>
        <w:gridCol w:w="1474"/>
        <w:gridCol w:w="1219"/>
        <w:gridCol w:w="1144"/>
      </w:tblGrid>
      <w:tr>
        <w:tc>
          <w:tcPr>
            <w:tcW w:w="694" w:type="dxa"/>
            <w:vMerge w:val="restart"/>
          </w:tcPr>
          <w:p>
            <w:pPr>
              <w:pStyle w:val="0"/>
              <w:jc w:val="center"/>
            </w:pPr>
            <w:r>
              <w:rPr>
                <w:sz w:val="20"/>
              </w:rPr>
              <w:t xml:space="preserve">Годы</w:t>
            </w:r>
          </w:p>
        </w:tc>
        <w:tc>
          <w:tcPr>
            <w:gridSpan w:val="6"/>
            <w:tcW w:w="8375" w:type="dxa"/>
          </w:tcPr>
          <w:p>
            <w:pPr>
              <w:pStyle w:val="0"/>
              <w:jc w:val="center"/>
            </w:pPr>
            <w:r>
              <w:rPr>
                <w:sz w:val="20"/>
              </w:rPr>
              <w:t xml:space="preserve">Источники финансирования</w:t>
            </w:r>
          </w:p>
        </w:tc>
      </w:tr>
      <w:tr>
        <w:tc>
          <w:tcPr>
            <w:vMerge w:val="continue"/>
          </w:tcPr>
          <w:p/>
        </w:tc>
        <w:tc>
          <w:tcPr>
            <w:tcW w:w="1361"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1928" w:type="dxa"/>
          </w:tcPr>
          <w:p>
            <w:pPr>
              <w:pStyle w:val="0"/>
              <w:jc w:val="center"/>
            </w:pPr>
            <w:r>
              <w:rPr>
                <w:sz w:val="20"/>
              </w:rPr>
              <w:t xml:space="preserve">Консолидированные бюджеты муниципальных образований</w:t>
            </w:r>
          </w:p>
        </w:tc>
        <w:tc>
          <w:tcPr>
            <w:tcW w:w="1474" w:type="dxa"/>
          </w:tcPr>
          <w:p>
            <w:pPr>
              <w:pStyle w:val="0"/>
              <w:jc w:val="center"/>
            </w:pPr>
            <w:r>
              <w:rPr>
                <w:sz w:val="20"/>
              </w:rPr>
              <w:t xml:space="preserve">Территориальные внебюджетные фонды</w:t>
            </w:r>
          </w:p>
        </w:tc>
        <w:tc>
          <w:tcPr>
            <w:tcW w:w="1219" w:type="dxa"/>
          </w:tcPr>
          <w:p>
            <w:pPr>
              <w:pStyle w:val="0"/>
              <w:jc w:val="center"/>
            </w:pPr>
            <w:r>
              <w:rPr>
                <w:sz w:val="20"/>
              </w:rPr>
              <w:t xml:space="preserve">Иные источники</w:t>
            </w:r>
          </w:p>
        </w:tc>
        <w:tc>
          <w:tcPr>
            <w:tcW w:w="1144" w:type="dxa"/>
          </w:tcPr>
          <w:p>
            <w:pPr>
              <w:pStyle w:val="0"/>
              <w:jc w:val="center"/>
            </w:pPr>
            <w:r>
              <w:rPr>
                <w:sz w:val="20"/>
              </w:rPr>
              <w:t xml:space="preserve">Всего</w:t>
            </w:r>
          </w:p>
        </w:tc>
      </w:tr>
      <w:tr>
        <w:tc>
          <w:tcPr>
            <w:tcW w:w="694" w:type="dxa"/>
            <w:vAlign w:val="center"/>
          </w:tcPr>
          <w:p>
            <w:pPr>
              <w:pStyle w:val="0"/>
              <w:jc w:val="center"/>
            </w:pPr>
            <w:r>
              <w:rPr>
                <w:sz w:val="20"/>
              </w:rPr>
              <w:t xml:space="preserve">2014</w:t>
            </w:r>
          </w:p>
        </w:tc>
        <w:tc>
          <w:tcPr>
            <w:tcW w:w="1361" w:type="dxa"/>
            <w:vAlign w:val="center"/>
          </w:tcPr>
          <w:p>
            <w:pPr>
              <w:pStyle w:val="0"/>
              <w:jc w:val="center"/>
            </w:pPr>
            <w:r>
              <w:rPr>
                <w:sz w:val="20"/>
              </w:rPr>
              <w:t xml:space="preserve">24436,0</w:t>
            </w:r>
          </w:p>
        </w:tc>
        <w:tc>
          <w:tcPr>
            <w:tcW w:w="1249" w:type="dxa"/>
            <w:vAlign w:val="center"/>
          </w:tcPr>
          <w:p>
            <w:pPr>
              <w:pStyle w:val="0"/>
              <w:jc w:val="center"/>
            </w:pPr>
            <w:r>
              <w:rPr>
                <w:sz w:val="20"/>
              </w:rPr>
              <w:t xml:space="preserve">900,0</w:t>
            </w:r>
          </w:p>
        </w:tc>
        <w:tc>
          <w:tcPr>
            <w:tcW w:w="1928" w:type="dxa"/>
            <w:vAlign w:val="center"/>
          </w:tcPr>
          <w:p>
            <w:pPr>
              <w:pStyle w:val="0"/>
              <w:jc w:val="center"/>
            </w:pPr>
            <w:r>
              <w:rPr>
                <w:sz w:val="20"/>
              </w:rPr>
              <w:t xml:space="preserve">14241,0</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39577,0</w:t>
            </w:r>
          </w:p>
        </w:tc>
      </w:tr>
      <w:tr>
        <w:tc>
          <w:tcPr>
            <w:tcW w:w="694" w:type="dxa"/>
            <w:vAlign w:val="center"/>
          </w:tcPr>
          <w:p>
            <w:pPr>
              <w:pStyle w:val="0"/>
              <w:jc w:val="center"/>
            </w:pPr>
            <w:r>
              <w:rPr>
                <w:sz w:val="20"/>
              </w:rPr>
              <w:t xml:space="preserve">2015</w:t>
            </w:r>
          </w:p>
        </w:tc>
        <w:tc>
          <w:tcPr>
            <w:tcW w:w="1361" w:type="dxa"/>
            <w:vAlign w:val="center"/>
          </w:tcPr>
          <w:p>
            <w:pPr>
              <w:pStyle w:val="0"/>
              <w:jc w:val="center"/>
            </w:pPr>
            <w:r>
              <w:rPr>
                <w:sz w:val="20"/>
              </w:rPr>
              <w:t xml:space="preserve">30225,0</w:t>
            </w:r>
          </w:p>
        </w:tc>
        <w:tc>
          <w:tcPr>
            <w:tcW w:w="1249" w:type="dxa"/>
            <w:vAlign w:val="center"/>
          </w:tcPr>
          <w:p>
            <w:pPr>
              <w:pStyle w:val="0"/>
              <w:jc w:val="center"/>
            </w:pPr>
            <w:r>
              <w:rPr>
                <w:sz w:val="20"/>
              </w:rPr>
              <w:t xml:space="preserve">900,0</w:t>
            </w:r>
          </w:p>
        </w:tc>
        <w:tc>
          <w:tcPr>
            <w:tcW w:w="1928" w:type="dxa"/>
            <w:vAlign w:val="center"/>
          </w:tcPr>
          <w:p>
            <w:pPr>
              <w:pStyle w:val="0"/>
              <w:jc w:val="center"/>
            </w:pPr>
            <w:r>
              <w:rPr>
                <w:sz w:val="20"/>
              </w:rPr>
              <w:t xml:space="preserve">22220,0</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53345,0</w:t>
            </w:r>
          </w:p>
        </w:tc>
      </w:tr>
      <w:tr>
        <w:tc>
          <w:tcPr>
            <w:tcW w:w="694" w:type="dxa"/>
            <w:vAlign w:val="center"/>
          </w:tcPr>
          <w:p>
            <w:pPr>
              <w:pStyle w:val="0"/>
              <w:jc w:val="center"/>
            </w:pPr>
            <w:r>
              <w:rPr>
                <w:sz w:val="20"/>
              </w:rPr>
              <w:t xml:space="preserve">2016</w:t>
            </w:r>
          </w:p>
        </w:tc>
        <w:tc>
          <w:tcPr>
            <w:tcW w:w="1361" w:type="dxa"/>
            <w:vAlign w:val="center"/>
          </w:tcPr>
          <w:p>
            <w:pPr>
              <w:pStyle w:val="0"/>
              <w:jc w:val="center"/>
            </w:pPr>
            <w:r>
              <w:rPr>
                <w:sz w:val="20"/>
              </w:rPr>
              <w:t xml:space="preserve">33829,0</w:t>
            </w:r>
          </w:p>
        </w:tc>
        <w:tc>
          <w:tcPr>
            <w:tcW w:w="1249" w:type="dxa"/>
            <w:vAlign w:val="center"/>
          </w:tcPr>
          <w:p>
            <w:pPr>
              <w:pStyle w:val="0"/>
              <w:jc w:val="center"/>
            </w:pPr>
            <w:r>
              <w:rPr>
                <w:sz w:val="20"/>
              </w:rPr>
              <w:t xml:space="preserve">0</w:t>
            </w:r>
          </w:p>
        </w:tc>
        <w:tc>
          <w:tcPr>
            <w:tcW w:w="1928" w:type="dxa"/>
            <w:vAlign w:val="center"/>
          </w:tcPr>
          <w:p>
            <w:pPr>
              <w:pStyle w:val="0"/>
              <w:jc w:val="center"/>
            </w:pPr>
            <w:r>
              <w:rPr>
                <w:sz w:val="20"/>
              </w:rPr>
              <w:t xml:space="preserve">8187,74</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42016,74</w:t>
            </w:r>
          </w:p>
        </w:tc>
      </w:tr>
      <w:tr>
        <w:tc>
          <w:tcPr>
            <w:tcW w:w="694" w:type="dxa"/>
            <w:vAlign w:val="center"/>
          </w:tcPr>
          <w:p>
            <w:pPr>
              <w:pStyle w:val="0"/>
              <w:jc w:val="center"/>
            </w:pPr>
            <w:r>
              <w:rPr>
                <w:sz w:val="20"/>
              </w:rPr>
              <w:t xml:space="preserve">2017</w:t>
            </w:r>
          </w:p>
        </w:tc>
        <w:tc>
          <w:tcPr>
            <w:tcW w:w="1361" w:type="dxa"/>
            <w:vAlign w:val="center"/>
          </w:tcPr>
          <w:p>
            <w:pPr>
              <w:pStyle w:val="0"/>
              <w:jc w:val="center"/>
            </w:pPr>
            <w:r>
              <w:rPr>
                <w:sz w:val="20"/>
              </w:rPr>
              <w:t xml:space="preserve">7034,0</w:t>
            </w:r>
          </w:p>
        </w:tc>
        <w:tc>
          <w:tcPr>
            <w:tcW w:w="1249" w:type="dxa"/>
            <w:vAlign w:val="center"/>
          </w:tcPr>
          <w:p>
            <w:pPr>
              <w:pStyle w:val="0"/>
              <w:jc w:val="center"/>
            </w:pPr>
            <w:r>
              <w:rPr>
                <w:sz w:val="20"/>
              </w:rPr>
              <w:t xml:space="preserve">0</w:t>
            </w:r>
          </w:p>
        </w:tc>
        <w:tc>
          <w:tcPr>
            <w:tcW w:w="1928" w:type="dxa"/>
            <w:vAlign w:val="center"/>
          </w:tcPr>
          <w:p>
            <w:pPr>
              <w:pStyle w:val="0"/>
              <w:jc w:val="center"/>
            </w:pPr>
            <w:r>
              <w:rPr>
                <w:sz w:val="20"/>
              </w:rPr>
              <w:t xml:space="preserve">0</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7034,0</w:t>
            </w:r>
          </w:p>
        </w:tc>
      </w:tr>
      <w:tr>
        <w:tc>
          <w:tcPr>
            <w:tcW w:w="694" w:type="dxa"/>
            <w:vAlign w:val="center"/>
          </w:tcPr>
          <w:p>
            <w:pPr>
              <w:pStyle w:val="0"/>
              <w:jc w:val="center"/>
            </w:pPr>
            <w:r>
              <w:rPr>
                <w:sz w:val="20"/>
              </w:rPr>
              <w:t xml:space="preserve">2018</w:t>
            </w:r>
          </w:p>
        </w:tc>
        <w:tc>
          <w:tcPr>
            <w:tcW w:w="1361" w:type="dxa"/>
            <w:vAlign w:val="center"/>
          </w:tcPr>
          <w:p>
            <w:pPr>
              <w:pStyle w:val="0"/>
              <w:jc w:val="center"/>
            </w:pPr>
            <w:r>
              <w:rPr>
                <w:sz w:val="20"/>
              </w:rPr>
              <w:t xml:space="preserve">17700,0</w:t>
            </w:r>
          </w:p>
        </w:tc>
        <w:tc>
          <w:tcPr>
            <w:tcW w:w="1249" w:type="dxa"/>
            <w:vAlign w:val="center"/>
          </w:tcPr>
          <w:p>
            <w:pPr>
              <w:pStyle w:val="0"/>
              <w:jc w:val="center"/>
            </w:pPr>
            <w:r>
              <w:rPr>
                <w:sz w:val="20"/>
              </w:rPr>
              <w:t xml:space="preserve">2832,0</w:t>
            </w:r>
          </w:p>
        </w:tc>
        <w:tc>
          <w:tcPr>
            <w:tcW w:w="1928" w:type="dxa"/>
            <w:vAlign w:val="center"/>
          </w:tcPr>
          <w:p>
            <w:pPr>
              <w:pStyle w:val="0"/>
              <w:jc w:val="center"/>
            </w:pPr>
            <w:r>
              <w:rPr>
                <w:sz w:val="20"/>
              </w:rPr>
              <w:t xml:space="preserve">349,0</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20881,0</w:t>
            </w:r>
          </w:p>
        </w:tc>
      </w:tr>
      <w:tr>
        <w:tc>
          <w:tcPr>
            <w:tcW w:w="694" w:type="dxa"/>
            <w:vAlign w:val="center"/>
          </w:tcPr>
          <w:p>
            <w:pPr>
              <w:pStyle w:val="0"/>
              <w:jc w:val="center"/>
            </w:pPr>
            <w:r>
              <w:rPr>
                <w:sz w:val="20"/>
              </w:rPr>
              <w:t xml:space="preserve">2019</w:t>
            </w:r>
          </w:p>
        </w:tc>
        <w:tc>
          <w:tcPr>
            <w:tcW w:w="1361" w:type="dxa"/>
            <w:vAlign w:val="center"/>
          </w:tcPr>
          <w:p>
            <w:pPr>
              <w:pStyle w:val="0"/>
              <w:jc w:val="center"/>
            </w:pPr>
            <w:r>
              <w:rPr>
                <w:sz w:val="20"/>
              </w:rPr>
              <w:t xml:space="preserve">20734,1</w:t>
            </w:r>
          </w:p>
        </w:tc>
        <w:tc>
          <w:tcPr>
            <w:tcW w:w="1249" w:type="dxa"/>
            <w:vAlign w:val="center"/>
          </w:tcPr>
          <w:p>
            <w:pPr>
              <w:pStyle w:val="0"/>
              <w:jc w:val="center"/>
            </w:pPr>
            <w:r>
              <w:rPr>
                <w:sz w:val="20"/>
              </w:rPr>
              <w:t xml:space="preserve">3991,6</w:t>
            </w:r>
          </w:p>
        </w:tc>
        <w:tc>
          <w:tcPr>
            <w:tcW w:w="1928" w:type="dxa"/>
            <w:vAlign w:val="center"/>
          </w:tcPr>
          <w:p>
            <w:pPr>
              <w:pStyle w:val="0"/>
              <w:jc w:val="center"/>
            </w:pPr>
            <w:r>
              <w:rPr>
                <w:sz w:val="20"/>
              </w:rPr>
              <w:t xml:space="preserve">558,0</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25283,7</w:t>
            </w:r>
          </w:p>
        </w:tc>
      </w:tr>
      <w:tr>
        <w:tc>
          <w:tcPr>
            <w:tcW w:w="694" w:type="dxa"/>
            <w:vAlign w:val="center"/>
          </w:tcPr>
          <w:p>
            <w:pPr>
              <w:pStyle w:val="0"/>
              <w:jc w:val="center"/>
            </w:pPr>
            <w:r>
              <w:rPr>
                <w:sz w:val="20"/>
              </w:rPr>
              <w:t xml:space="preserve">2020</w:t>
            </w:r>
          </w:p>
        </w:tc>
        <w:tc>
          <w:tcPr>
            <w:tcW w:w="1361" w:type="dxa"/>
            <w:vAlign w:val="center"/>
          </w:tcPr>
          <w:p>
            <w:pPr>
              <w:pStyle w:val="0"/>
              <w:jc w:val="center"/>
            </w:pPr>
            <w:r>
              <w:rPr>
                <w:sz w:val="20"/>
              </w:rPr>
              <w:t xml:space="preserve">21078,2</w:t>
            </w:r>
          </w:p>
        </w:tc>
        <w:tc>
          <w:tcPr>
            <w:tcW w:w="1249" w:type="dxa"/>
            <w:vAlign w:val="center"/>
          </w:tcPr>
          <w:p>
            <w:pPr>
              <w:pStyle w:val="0"/>
              <w:jc w:val="center"/>
            </w:pPr>
            <w:r>
              <w:rPr>
                <w:sz w:val="20"/>
              </w:rPr>
              <w:t xml:space="preserve">4078,6</w:t>
            </w:r>
          </w:p>
        </w:tc>
        <w:tc>
          <w:tcPr>
            <w:tcW w:w="1928" w:type="dxa"/>
            <w:vAlign w:val="center"/>
          </w:tcPr>
          <w:p>
            <w:pPr>
              <w:pStyle w:val="0"/>
              <w:jc w:val="center"/>
            </w:pPr>
            <w:r>
              <w:rPr>
                <w:sz w:val="20"/>
              </w:rPr>
              <w:t xml:space="preserve">1022,2</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26179,0</w:t>
            </w:r>
          </w:p>
        </w:tc>
      </w:tr>
      <w:tr>
        <w:tc>
          <w:tcPr>
            <w:tcW w:w="694" w:type="dxa"/>
            <w:vAlign w:val="center"/>
          </w:tcPr>
          <w:p>
            <w:pPr>
              <w:pStyle w:val="0"/>
              <w:jc w:val="center"/>
            </w:pPr>
            <w:r>
              <w:rPr>
                <w:sz w:val="20"/>
              </w:rPr>
              <w:t xml:space="preserve">Всего</w:t>
            </w:r>
          </w:p>
        </w:tc>
        <w:tc>
          <w:tcPr>
            <w:tcW w:w="1361" w:type="dxa"/>
            <w:vAlign w:val="center"/>
          </w:tcPr>
          <w:p>
            <w:pPr>
              <w:pStyle w:val="0"/>
              <w:jc w:val="center"/>
            </w:pPr>
            <w:r>
              <w:rPr>
                <w:sz w:val="20"/>
              </w:rPr>
              <w:t xml:space="preserve">155036,3</w:t>
            </w:r>
          </w:p>
        </w:tc>
        <w:tc>
          <w:tcPr>
            <w:tcW w:w="1249" w:type="dxa"/>
            <w:vAlign w:val="center"/>
          </w:tcPr>
          <w:p>
            <w:pPr>
              <w:pStyle w:val="0"/>
              <w:jc w:val="center"/>
            </w:pPr>
            <w:r>
              <w:rPr>
                <w:sz w:val="20"/>
              </w:rPr>
              <w:t xml:space="preserve">12702,2</w:t>
            </w:r>
          </w:p>
        </w:tc>
        <w:tc>
          <w:tcPr>
            <w:tcW w:w="1928" w:type="dxa"/>
            <w:vAlign w:val="center"/>
          </w:tcPr>
          <w:p>
            <w:pPr>
              <w:pStyle w:val="0"/>
              <w:jc w:val="center"/>
            </w:pPr>
            <w:r>
              <w:rPr>
                <w:sz w:val="20"/>
              </w:rPr>
              <w:t xml:space="preserve">46577,94</w:t>
            </w:r>
          </w:p>
        </w:tc>
        <w:tc>
          <w:tcPr>
            <w:tcW w:w="1474" w:type="dxa"/>
            <w:vAlign w:val="center"/>
          </w:tcPr>
          <w:p>
            <w:pPr>
              <w:pStyle w:val="0"/>
              <w:jc w:val="center"/>
            </w:pPr>
            <w:r>
              <w:rPr>
                <w:sz w:val="20"/>
              </w:rPr>
            </w:r>
          </w:p>
        </w:tc>
        <w:tc>
          <w:tcPr>
            <w:tcW w:w="1219" w:type="dxa"/>
            <w:vAlign w:val="center"/>
          </w:tcPr>
          <w:p>
            <w:pPr>
              <w:pStyle w:val="0"/>
              <w:jc w:val="center"/>
            </w:pPr>
            <w:r>
              <w:rPr>
                <w:sz w:val="20"/>
              </w:rPr>
            </w:r>
          </w:p>
        </w:tc>
        <w:tc>
          <w:tcPr>
            <w:tcW w:w="1144" w:type="dxa"/>
            <w:vAlign w:val="center"/>
          </w:tcPr>
          <w:p>
            <w:pPr>
              <w:pStyle w:val="0"/>
              <w:jc w:val="center"/>
            </w:pPr>
            <w:r>
              <w:rPr>
                <w:sz w:val="20"/>
              </w:rPr>
              <w:t xml:space="preserve">214316,44</w:t>
            </w:r>
          </w:p>
        </w:tc>
      </w:tr>
    </w:tbl>
    <w:p>
      <w:pPr>
        <w:pStyle w:val="0"/>
        <w:jc w:val="center"/>
      </w:pPr>
      <w:r>
        <w:rPr>
          <w:sz w:val="20"/>
        </w:rPr>
      </w:r>
    </w:p>
    <w:p>
      <w:pPr>
        <w:pStyle w:val="2"/>
        <w:outlineLvl w:val="4"/>
        <w:jc w:val="center"/>
      </w:pPr>
      <w:r>
        <w:rPr>
          <w:sz w:val="20"/>
        </w:rPr>
        <w:t xml:space="preserve">Планируемые объемы финансирования подпрограммы 2</w:t>
      </w:r>
    </w:p>
    <w:p>
      <w:pPr>
        <w:pStyle w:val="2"/>
        <w:jc w:val="center"/>
      </w:pPr>
      <w:r>
        <w:rPr>
          <w:sz w:val="20"/>
        </w:rPr>
        <w:t xml:space="preserve">на 2 этапе реализации</w:t>
      </w:r>
    </w:p>
    <w:p>
      <w:pPr>
        <w:pStyle w:val="0"/>
        <w:jc w:val="both"/>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4"/>
        <w:gridCol w:w="1077"/>
        <w:gridCol w:w="1249"/>
        <w:gridCol w:w="1928"/>
        <w:gridCol w:w="1474"/>
        <w:gridCol w:w="1077"/>
        <w:gridCol w:w="1144"/>
      </w:tblGrid>
      <w:tr>
        <w:tc>
          <w:tcPr>
            <w:tcW w:w="1084" w:type="dxa"/>
            <w:vMerge w:val="restart"/>
          </w:tcPr>
          <w:p>
            <w:pPr>
              <w:pStyle w:val="0"/>
              <w:jc w:val="center"/>
            </w:pPr>
            <w:r>
              <w:rPr>
                <w:sz w:val="20"/>
              </w:rPr>
              <w:t xml:space="preserve">Годы</w:t>
            </w:r>
          </w:p>
        </w:tc>
        <w:tc>
          <w:tcPr>
            <w:gridSpan w:val="6"/>
            <w:tcW w:w="7949" w:type="dxa"/>
          </w:tcPr>
          <w:p>
            <w:pPr>
              <w:pStyle w:val="0"/>
              <w:jc w:val="center"/>
            </w:pPr>
            <w:r>
              <w:rPr>
                <w:sz w:val="20"/>
              </w:rPr>
              <w:t xml:space="preserve">Источники финансирования</w:t>
            </w:r>
          </w:p>
        </w:tc>
      </w:tr>
      <w:tr>
        <w:tc>
          <w:tcPr>
            <w:vMerge w:val="continue"/>
          </w:tcPr>
          <w:p/>
        </w:tc>
        <w:tc>
          <w:tcPr>
            <w:tcW w:w="1077"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1928" w:type="dxa"/>
          </w:tcPr>
          <w:p>
            <w:pPr>
              <w:pStyle w:val="0"/>
              <w:jc w:val="center"/>
            </w:pPr>
            <w:r>
              <w:rPr>
                <w:sz w:val="20"/>
              </w:rPr>
              <w:t xml:space="preserve">Консолидированные бюджеты муниципальных образований</w:t>
            </w:r>
          </w:p>
        </w:tc>
        <w:tc>
          <w:tcPr>
            <w:tcW w:w="1474" w:type="dxa"/>
          </w:tcPr>
          <w:p>
            <w:pPr>
              <w:pStyle w:val="0"/>
              <w:jc w:val="center"/>
            </w:pPr>
            <w:r>
              <w:rPr>
                <w:sz w:val="20"/>
              </w:rPr>
              <w:t xml:space="preserve">Территориальные внебюджетные фонды</w:t>
            </w:r>
          </w:p>
        </w:tc>
        <w:tc>
          <w:tcPr>
            <w:tcW w:w="1077" w:type="dxa"/>
          </w:tcPr>
          <w:p>
            <w:pPr>
              <w:pStyle w:val="0"/>
              <w:jc w:val="center"/>
            </w:pPr>
            <w:r>
              <w:rPr>
                <w:sz w:val="20"/>
              </w:rPr>
              <w:t xml:space="preserve">Иные источники</w:t>
            </w:r>
          </w:p>
        </w:tc>
        <w:tc>
          <w:tcPr>
            <w:tcW w:w="1144" w:type="dxa"/>
          </w:tcPr>
          <w:p>
            <w:pPr>
              <w:pStyle w:val="0"/>
              <w:jc w:val="center"/>
            </w:pPr>
            <w:r>
              <w:rPr>
                <w:sz w:val="20"/>
              </w:rPr>
              <w:t xml:space="preserve">Всего</w:t>
            </w:r>
          </w:p>
        </w:tc>
      </w:tr>
      <w:tr>
        <w:tc>
          <w:tcPr>
            <w:tcW w:w="1084" w:type="dxa"/>
          </w:tcPr>
          <w:p>
            <w:pPr>
              <w:pStyle w:val="0"/>
              <w:jc w:val="center"/>
            </w:pPr>
            <w:r>
              <w:rPr>
                <w:sz w:val="20"/>
              </w:rPr>
              <w:t xml:space="preserve">2021</w:t>
            </w:r>
          </w:p>
        </w:tc>
        <w:tc>
          <w:tcPr>
            <w:tcW w:w="1077" w:type="dxa"/>
          </w:tcPr>
          <w:p>
            <w:pPr>
              <w:pStyle w:val="0"/>
              <w:jc w:val="center"/>
            </w:pPr>
            <w:r>
              <w:rPr>
                <w:sz w:val="20"/>
              </w:rPr>
              <w:t xml:space="preserve">9874,8</w:t>
            </w:r>
          </w:p>
        </w:tc>
        <w:tc>
          <w:tcPr>
            <w:tcW w:w="1249" w:type="dxa"/>
          </w:tcPr>
          <w:p>
            <w:pPr>
              <w:pStyle w:val="0"/>
              <w:jc w:val="center"/>
            </w:pPr>
            <w:r>
              <w:rPr>
                <w:sz w:val="20"/>
              </w:rPr>
              <w:t xml:space="preserve">140049,9</w:t>
            </w:r>
          </w:p>
        </w:tc>
        <w:tc>
          <w:tcPr>
            <w:tcW w:w="1928" w:type="dxa"/>
          </w:tcPr>
          <w:p>
            <w:pPr>
              <w:pStyle w:val="0"/>
              <w:jc w:val="center"/>
            </w:pPr>
            <w:r>
              <w:rPr>
                <w:sz w:val="20"/>
              </w:rPr>
              <w:t xml:space="preserve">513,8</w:t>
            </w:r>
          </w:p>
        </w:tc>
        <w:tc>
          <w:tcPr>
            <w:tcW w:w="1474" w:type="dxa"/>
          </w:tcPr>
          <w:p>
            <w:pPr>
              <w:pStyle w:val="0"/>
            </w:pPr>
            <w:r>
              <w:rPr>
                <w:sz w:val="20"/>
              </w:rPr>
            </w:r>
          </w:p>
        </w:tc>
        <w:tc>
          <w:tcPr>
            <w:tcW w:w="1077" w:type="dxa"/>
          </w:tcPr>
          <w:p>
            <w:pPr>
              <w:pStyle w:val="0"/>
            </w:pPr>
            <w:r>
              <w:rPr>
                <w:sz w:val="20"/>
              </w:rPr>
            </w:r>
          </w:p>
        </w:tc>
        <w:tc>
          <w:tcPr>
            <w:tcW w:w="1144" w:type="dxa"/>
          </w:tcPr>
          <w:p>
            <w:pPr>
              <w:pStyle w:val="0"/>
              <w:jc w:val="center"/>
            </w:pPr>
            <w:r>
              <w:rPr>
                <w:sz w:val="20"/>
              </w:rPr>
              <w:t xml:space="preserve">150438,5</w:t>
            </w:r>
          </w:p>
        </w:tc>
      </w:tr>
      <w:tr>
        <w:tc>
          <w:tcPr>
            <w:tcW w:w="1084" w:type="dxa"/>
          </w:tcPr>
          <w:p>
            <w:pPr>
              <w:pStyle w:val="0"/>
              <w:jc w:val="center"/>
            </w:pPr>
            <w:r>
              <w:rPr>
                <w:sz w:val="20"/>
              </w:rPr>
              <w:t xml:space="preserve">2022</w:t>
            </w:r>
          </w:p>
        </w:tc>
        <w:tc>
          <w:tcPr>
            <w:tcW w:w="1077" w:type="dxa"/>
          </w:tcPr>
          <w:p>
            <w:pPr>
              <w:pStyle w:val="0"/>
              <w:jc w:val="center"/>
            </w:pPr>
            <w:r>
              <w:rPr>
                <w:sz w:val="20"/>
              </w:rPr>
              <w:t xml:space="preserve">53154,6</w:t>
            </w:r>
          </w:p>
        </w:tc>
        <w:tc>
          <w:tcPr>
            <w:tcW w:w="1249" w:type="dxa"/>
          </w:tcPr>
          <w:p>
            <w:pPr>
              <w:pStyle w:val="0"/>
              <w:jc w:val="center"/>
            </w:pPr>
            <w:r>
              <w:rPr>
                <w:sz w:val="20"/>
              </w:rPr>
              <w:t xml:space="preserve">588057,8</w:t>
            </w:r>
          </w:p>
        </w:tc>
        <w:tc>
          <w:tcPr>
            <w:tcW w:w="1928" w:type="dxa"/>
          </w:tcPr>
          <w:p>
            <w:pPr>
              <w:pStyle w:val="0"/>
              <w:jc w:val="center"/>
            </w:pPr>
            <w:r>
              <w:rPr>
                <w:sz w:val="20"/>
              </w:rPr>
              <w:t xml:space="preserve">3944,3</w:t>
            </w:r>
          </w:p>
        </w:tc>
        <w:tc>
          <w:tcPr>
            <w:tcW w:w="1474" w:type="dxa"/>
          </w:tcPr>
          <w:p>
            <w:pPr>
              <w:pStyle w:val="0"/>
            </w:pPr>
            <w:r>
              <w:rPr>
                <w:sz w:val="20"/>
              </w:rPr>
            </w:r>
          </w:p>
        </w:tc>
        <w:tc>
          <w:tcPr>
            <w:tcW w:w="1077" w:type="dxa"/>
          </w:tcPr>
          <w:p>
            <w:pPr>
              <w:pStyle w:val="0"/>
            </w:pPr>
            <w:r>
              <w:rPr>
                <w:sz w:val="20"/>
              </w:rPr>
            </w:r>
          </w:p>
        </w:tc>
        <w:tc>
          <w:tcPr>
            <w:tcW w:w="1144" w:type="dxa"/>
          </w:tcPr>
          <w:p>
            <w:pPr>
              <w:pStyle w:val="0"/>
              <w:jc w:val="center"/>
            </w:pPr>
            <w:r>
              <w:rPr>
                <w:sz w:val="20"/>
              </w:rPr>
              <w:t xml:space="preserve">645156,7</w:t>
            </w:r>
          </w:p>
        </w:tc>
      </w:tr>
      <w:tr>
        <w:tc>
          <w:tcPr>
            <w:tcW w:w="1084" w:type="dxa"/>
          </w:tcPr>
          <w:p>
            <w:pPr>
              <w:pStyle w:val="0"/>
              <w:jc w:val="center"/>
            </w:pPr>
            <w:r>
              <w:rPr>
                <w:sz w:val="20"/>
              </w:rPr>
              <w:t xml:space="preserve">2023</w:t>
            </w:r>
          </w:p>
          <w:p>
            <w:pPr>
              <w:pStyle w:val="0"/>
              <w:jc w:val="center"/>
            </w:pPr>
            <w:r>
              <w:rPr>
                <w:sz w:val="20"/>
              </w:rPr>
              <w:t xml:space="preserve">(прогноз)</w:t>
            </w:r>
          </w:p>
        </w:tc>
        <w:tc>
          <w:tcPr>
            <w:tcW w:w="1077" w:type="dxa"/>
          </w:tcPr>
          <w:p>
            <w:pPr>
              <w:pStyle w:val="0"/>
              <w:jc w:val="center"/>
            </w:pPr>
            <w:r>
              <w:rPr>
                <w:sz w:val="20"/>
              </w:rPr>
              <w:t xml:space="preserve">39763,2</w:t>
            </w:r>
          </w:p>
        </w:tc>
        <w:tc>
          <w:tcPr>
            <w:tcW w:w="1249" w:type="dxa"/>
          </w:tcPr>
          <w:p>
            <w:pPr>
              <w:pStyle w:val="0"/>
              <w:jc w:val="center"/>
            </w:pPr>
            <w:r>
              <w:rPr>
                <w:sz w:val="20"/>
              </w:rPr>
              <w:t xml:space="preserve">535734,3</w:t>
            </w:r>
          </w:p>
        </w:tc>
        <w:tc>
          <w:tcPr>
            <w:tcW w:w="1928" w:type="dxa"/>
          </w:tcPr>
          <w:p>
            <w:pPr>
              <w:pStyle w:val="0"/>
              <w:jc w:val="center"/>
            </w:pPr>
            <w:r>
              <w:rPr>
                <w:sz w:val="20"/>
              </w:rPr>
              <w:t xml:space="preserve">1074,3</w:t>
            </w:r>
          </w:p>
        </w:tc>
        <w:tc>
          <w:tcPr>
            <w:tcW w:w="1474" w:type="dxa"/>
          </w:tcPr>
          <w:p>
            <w:pPr>
              <w:pStyle w:val="0"/>
            </w:pPr>
            <w:r>
              <w:rPr>
                <w:sz w:val="20"/>
              </w:rPr>
            </w:r>
          </w:p>
        </w:tc>
        <w:tc>
          <w:tcPr>
            <w:tcW w:w="1077" w:type="dxa"/>
          </w:tcPr>
          <w:p>
            <w:pPr>
              <w:pStyle w:val="0"/>
            </w:pPr>
            <w:r>
              <w:rPr>
                <w:sz w:val="20"/>
              </w:rPr>
            </w:r>
          </w:p>
        </w:tc>
        <w:tc>
          <w:tcPr>
            <w:tcW w:w="1144" w:type="dxa"/>
          </w:tcPr>
          <w:p>
            <w:pPr>
              <w:pStyle w:val="0"/>
              <w:jc w:val="center"/>
            </w:pPr>
            <w:r>
              <w:rPr>
                <w:sz w:val="20"/>
              </w:rPr>
              <w:t xml:space="preserve">576571,8</w:t>
            </w:r>
          </w:p>
        </w:tc>
      </w:tr>
      <w:tr>
        <w:tc>
          <w:tcPr>
            <w:tcW w:w="1084" w:type="dxa"/>
          </w:tcPr>
          <w:p>
            <w:pPr>
              <w:pStyle w:val="0"/>
              <w:jc w:val="center"/>
            </w:pPr>
            <w:r>
              <w:rPr>
                <w:sz w:val="20"/>
              </w:rPr>
              <w:t xml:space="preserve">2024</w:t>
            </w:r>
          </w:p>
          <w:p>
            <w:pPr>
              <w:pStyle w:val="0"/>
              <w:jc w:val="center"/>
            </w:pPr>
            <w:r>
              <w:rPr>
                <w:sz w:val="20"/>
              </w:rPr>
              <w:t xml:space="preserve">(прогноз)</w:t>
            </w:r>
          </w:p>
        </w:tc>
        <w:tc>
          <w:tcPr>
            <w:tcW w:w="1077" w:type="dxa"/>
          </w:tcPr>
          <w:p>
            <w:pPr>
              <w:pStyle w:val="0"/>
              <w:jc w:val="center"/>
            </w:pPr>
            <w:r>
              <w:rPr>
                <w:sz w:val="20"/>
              </w:rPr>
              <w:t xml:space="preserve">31590,5</w:t>
            </w:r>
          </w:p>
        </w:tc>
        <w:tc>
          <w:tcPr>
            <w:tcW w:w="1249" w:type="dxa"/>
          </w:tcPr>
          <w:p>
            <w:pPr>
              <w:pStyle w:val="0"/>
              <w:jc w:val="center"/>
            </w:pPr>
            <w:r>
              <w:rPr>
                <w:sz w:val="20"/>
              </w:rPr>
              <w:t xml:space="preserve">34015,7</w:t>
            </w:r>
          </w:p>
        </w:tc>
        <w:tc>
          <w:tcPr>
            <w:tcW w:w="1928" w:type="dxa"/>
          </w:tcPr>
          <w:p>
            <w:pPr>
              <w:pStyle w:val="0"/>
              <w:jc w:val="center"/>
            </w:pPr>
            <w:r>
              <w:rPr>
                <w:sz w:val="20"/>
              </w:rPr>
            </w:r>
          </w:p>
        </w:tc>
        <w:tc>
          <w:tcPr>
            <w:tcW w:w="1474" w:type="dxa"/>
          </w:tcPr>
          <w:p>
            <w:pPr>
              <w:pStyle w:val="0"/>
            </w:pPr>
            <w:r>
              <w:rPr>
                <w:sz w:val="20"/>
              </w:rPr>
            </w:r>
          </w:p>
        </w:tc>
        <w:tc>
          <w:tcPr>
            <w:tcW w:w="1077" w:type="dxa"/>
          </w:tcPr>
          <w:p>
            <w:pPr>
              <w:pStyle w:val="0"/>
            </w:pPr>
            <w:r>
              <w:rPr>
                <w:sz w:val="20"/>
              </w:rPr>
            </w:r>
          </w:p>
        </w:tc>
        <w:tc>
          <w:tcPr>
            <w:tcW w:w="1144" w:type="dxa"/>
          </w:tcPr>
          <w:p>
            <w:pPr>
              <w:pStyle w:val="0"/>
              <w:jc w:val="center"/>
            </w:pPr>
            <w:r>
              <w:rPr>
                <w:sz w:val="20"/>
              </w:rPr>
              <w:t xml:space="preserve">65606,2</w:t>
            </w:r>
          </w:p>
        </w:tc>
      </w:tr>
      <w:tr>
        <w:tc>
          <w:tcPr>
            <w:tcW w:w="1084" w:type="dxa"/>
          </w:tcPr>
          <w:p>
            <w:pPr>
              <w:pStyle w:val="0"/>
              <w:jc w:val="center"/>
            </w:pPr>
            <w:r>
              <w:rPr>
                <w:sz w:val="20"/>
              </w:rPr>
              <w:t xml:space="preserve">2025</w:t>
            </w:r>
          </w:p>
          <w:p>
            <w:pPr>
              <w:pStyle w:val="0"/>
              <w:jc w:val="center"/>
            </w:pPr>
            <w:r>
              <w:rPr>
                <w:sz w:val="20"/>
              </w:rPr>
              <w:t xml:space="preserve">(прогноз)</w:t>
            </w:r>
          </w:p>
        </w:tc>
        <w:tc>
          <w:tcPr>
            <w:tcW w:w="1077" w:type="dxa"/>
          </w:tcPr>
          <w:p>
            <w:pPr>
              <w:pStyle w:val="0"/>
              <w:jc w:val="center"/>
            </w:pPr>
            <w:r>
              <w:rPr>
                <w:sz w:val="20"/>
              </w:rPr>
              <w:t xml:space="preserve">19540,6</w:t>
            </w:r>
          </w:p>
        </w:tc>
        <w:tc>
          <w:tcPr>
            <w:tcW w:w="1249" w:type="dxa"/>
          </w:tcPr>
          <w:p>
            <w:pPr>
              <w:pStyle w:val="0"/>
              <w:jc w:val="center"/>
            </w:pPr>
            <w:r>
              <w:rPr>
                <w:sz w:val="20"/>
              </w:rPr>
              <w:t xml:space="preserve">38164,2</w:t>
            </w:r>
          </w:p>
        </w:tc>
        <w:tc>
          <w:tcPr>
            <w:tcW w:w="1928" w:type="dxa"/>
          </w:tcPr>
          <w:p>
            <w:pPr>
              <w:pStyle w:val="0"/>
              <w:jc w:val="center"/>
            </w:pPr>
            <w:r>
              <w:rPr>
                <w:sz w:val="20"/>
              </w:rPr>
              <w:t xml:space="preserve">730,5</w:t>
            </w:r>
          </w:p>
        </w:tc>
        <w:tc>
          <w:tcPr>
            <w:tcW w:w="1474" w:type="dxa"/>
          </w:tcPr>
          <w:p>
            <w:pPr>
              <w:pStyle w:val="0"/>
            </w:pPr>
            <w:r>
              <w:rPr>
                <w:sz w:val="20"/>
              </w:rPr>
            </w:r>
          </w:p>
        </w:tc>
        <w:tc>
          <w:tcPr>
            <w:tcW w:w="1077" w:type="dxa"/>
          </w:tcPr>
          <w:p>
            <w:pPr>
              <w:pStyle w:val="0"/>
            </w:pPr>
            <w:r>
              <w:rPr>
                <w:sz w:val="20"/>
              </w:rPr>
            </w:r>
          </w:p>
        </w:tc>
        <w:tc>
          <w:tcPr>
            <w:tcW w:w="1144" w:type="dxa"/>
          </w:tcPr>
          <w:p>
            <w:pPr>
              <w:pStyle w:val="0"/>
              <w:jc w:val="center"/>
            </w:pPr>
            <w:r>
              <w:rPr>
                <w:sz w:val="20"/>
              </w:rPr>
              <w:t xml:space="preserve">58435,3</w:t>
            </w:r>
          </w:p>
        </w:tc>
      </w:tr>
      <w:tr>
        <w:tc>
          <w:tcPr>
            <w:tcW w:w="1084" w:type="dxa"/>
          </w:tcPr>
          <w:p>
            <w:pPr>
              <w:pStyle w:val="0"/>
              <w:jc w:val="center"/>
            </w:pPr>
            <w:r>
              <w:rPr>
                <w:sz w:val="20"/>
              </w:rPr>
              <w:t xml:space="preserve">Всего</w:t>
            </w:r>
          </w:p>
        </w:tc>
        <w:tc>
          <w:tcPr>
            <w:tcW w:w="1077" w:type="dxa"/>
          </w:tcPr>
          <w:p>
            <w:pPr>
              <w:pStyle w:val="0"/>
              <w:jc w:val="center"/>
            </w:pPr>
            <w:r>
              <w:rPr>
                <w:sz w:val="20"/>
              </w:rPr>
              <w:t xml:space="preserve">153923,7</w:t>
            </w:r>
          </w:p>
        </w:tc>
        <w:tc>
          <w:tcPr>
            <w:tcW w:w="1249" w:type="dxa"/>
          </w:tcPr>
          <w:p>
            <w:pPr>
              <w:pStyle w:val="0"/>
              <w:jc w:val="center"/>
            </w:pPr>
            <w:r>
              <w:rPr>
                <w:sz w:val="20"/>
              </w:rPr>
              <w:t xml:space="preserve">1336021,9</w:t>
            </w:r>
          </w:p>
        </w:tc>
        <w:tc>
          <w:tcPr>
            <w:tcW w:w="1928" w:type="dxa"/>
          </w:tcPr>
          <w:p>
            <w:pPr>
              <w:pStyle w:val="0"/>
              <w:jc w:val="center"/>
            </w:pPr>
            <w:r>
              <w:rPr>
                <w:sz w:val="20"/>
              </w:rPr>
              <w:t xml:space="preserve">6262,9</w:t>
            </w:r>
          </w:p>
        </w:tc>
        <w:tc>
          <w:tcPr>
            <w:tcW w:w="1474" w:type="dxa"/>
          </w:tcPr>
          <w:p>
            <w:pPr>
              <w:pStyle w:val="0"/>
            </w:pPr>
            <w:r>
              <w:rPr>
                <w:sz w:val="20"/>
              </w:rPr>
            </w:r>
          </w:p>
        </w:tc>
        <w:tc>
          <w:tcPr>
            <w:tcW w:w="1077" w:type="dxa"/>
          </w:tcPr>
          <w:p>
            <w:pPr>
              <w:pStyle w:val="0"/>
            </w:pPr>
            <w:r>
              <w:rPr>
                <w:sz w:val="20"/>
              </w:rPr>
            </w:r>
          </w:p>
        </w:tc>
        <w:tc>
          <w:tcPr>
            <w:tcW w:w="1144" w:type="dxa"/>
          </w:tcPr>
          <w:p>
            <w:pPr>
              <w:pStyle w:val="0"/>
              <w:jc w:val="center"/>
            </w:pPr>
            <w:r>
              <w:rPr>
                <w:sz w:val="20"/>
              </w:rPr>
              <w:t xml:space="preserve">1496208,5</w:t>
            </w:r>
          </w:p>
        </w:tc>
      </w:tr>
    </w:tbl>
    <w:p>
      <w:pPr>
        <w:pStyle w:val="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по годам представлены соответственно в </w:t>
      </w:r>
      <w:hyperlink w:history="0" w:anchor="P4186" w:tooltip="Приложение N 3">
        <w:r>
          <w:rPr>
            <w:sz w:val="20"/>
            <w:color w:val="0000ff"/>
          </w:rPr>
          <w:t xml:space="preserve">приложениях N 3</w:t>
        </w:r>
      </w:hyperlink>
      <w:r>
        <w:rPr>
          <w:sz w:val="20"/>
        </w:rPr>
        <w:t xml:space="preserve"> и </w:t>
      </w:r>
      <w:hyperlink w:history="0" w:anchor="P7853"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bookmarkStart w:id="1170" w:name="P1170"/>
    <w:bookmarkEnd w:id="1170"/>
    <w:p>
      <w:pPr>
        <w:pStyle w:val="2"/>
        <w:outlineLvl w:val="1"/>
        <w:jc w:val="center"/>
      </w:pPr>
      <w:r>
        <w:rPr>
          <w:sz w:val="20"/>
        </w:rPr>
        <w:t xml:space="preserve">Паспорт</w:t>
      </w:r>
    </w:p>
    <w:p>
      <w:pPr>
        <w:pStyle w:val="2"/>
        <w:jc w:val="center"/>
      </w:pPr>
      <w:r>
        <w:rPr>
          <w:sz w:val="20"/>
        </w:rPr>
        <w:t xml:space="preserve">подпрограммы 3 "Охрана окружающей среды</w:t>
      </w:r>
    </w:p>
    <w:p>
      <w:pPr>
        <w:pStyle w:val="2"/>
        <w:jc w:val="center"/>
      </w:pPr>
      <w:r>
        <w:rPr>
          <w:sz w:val="20"/>
        </w:rPr>
        <w:t xml:space="preserve">и рациональное природопользование"</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подпрограммы 3: "Охрана окружающей среды и рациональное природопользование" (далее - подпрограмма 3)</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Соисполнитель</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p>
            <w:pPr>
              <w:pStyle w:val="0"/>
              <w:jc w:val="both"/>
            </w:pPr>
            <w:r>
              <w:rPr>
                <w:sz w:val="20"/>
              </w:rPr>
              <w:t xml:space="preserve">министерство экономического развития и промышленности Белгородской области;</w:t>
            </w:r>
          </w:p>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96"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Участники подпрограммы 3</w:t>
            </w:r>
          </w:p>
        </w:tc>
        <w:tc>
          <w:tcPr>
            <w:tcW w:w="6236" w:type="dxa"/>
            <w:tcBorders>
              <w:bottom w:val="nil"/>
            </w:tcBorders>
          </w:tcPr>
          <w:p>
            <w:pPr>
              <w:pStyle w:val="0"/>
              <w:jc w:val="both"/>
            </w:pPr>
            <w:r>
              <w:rPr>
                <w:sz w:val="20"/>
              </w:rPr>
              <w:t xml:space="preserve">Министерство природопользования Белгородской области;</w:t>
            </w:r>
          </w:p>
          <w:p>
            <w:pPr>
              <w:pStyle w:val="0"/>
              <w:jc w:val="both"/>
            </w:pPr>
            <w:r>
              <w:rPr>
                <w:sz w:val="20"/>
              </w:rPr>
              <w:t xml:space="preserve">министерство жилищно-коммунального хозяйства Белгородской области;</w:t>
            </w:r>
          </w:p>
          <w:p>
            <w:pPr>
              <w:pStyle w:val="0"/>
              <w:jc w:val="both"/>
            </w:pPr>
            <w:r>
              <w:rPr>
                <w:sz w:val="20"/>
              </w:rPr>
              <w:t xml:space="preserve">министерство экономического развития и промышленности Белгородской области;</w:t>
            </w:r>
          </w:p>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9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c>
          <w:tcPr>
            <w:tcW w:w="454" w:type="dxa"/>
          </w:tcPr>
          <w:p>
            <w:pPr>
              <w:pStyle w:val="0"/>
              <w:jc w:val="center"/>
            </w:pPr>
            <w:r>
              <w:rPr>
                <w:sz w:val="20"/>
              </w:rPr>
              <w:t xml:space="preserve">3</w:t>
            </w:r>
          </w:p>
        </w:tc>
        <w:tc>
          <w:tcPr>
            <w:tcW w:w="2324" w:type="dxa"/>
          </w:tcPr>
          <w:p>
            <w:pPr>
              <w:pStyle w:val="0"/>
            </w:pPr>
            <w:r>
              <w:rPr>
                <w:sz w:val="20"/>
              </w:rPr>
              <w:t xml:space="preserve">Цель подпрограммы 3</w:t>
            </w:r>
          </w:p>
        </w:tc>
        <w:tc>
          <w:tcPr>
            <w:tcW w:w="6236" w:type="dxa"/>
          </w:tcPr>
          <w:p>
            <w:pPr>
              <w:pStyle w:val="0"/>
              <w:jc w:val="both"/>
            </w:pPr>
            <w:r>
              <w:rPr>
                <w:sz w:val="20"/>
              </w:rPr>
              <w:t xml:space="preserve">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tc>
      </w:tr>
      <w:tr>
        <w:tblPrEx>
          <w:tblBorders>
            <w:insideH w:val="nil"/>
          </w:tblBorders>
        </w:tblPrEx>
        <w:tc>
          <w:tcPr>
            <w:tcW w:w="454" w:type="dxa"/>
            <w:tcBorders>
              <w:bottom w:val="nil"/>
            </w:tcBorders>
          </w:tcPr>
          <w:p>
            <w:pPr>
              <w:pStyle w:val="0"/>
              <w:jc w:val="center"/>
            </w:pPr>
            <w:r>
              <w:rPr>
                <w:sz w:val="20"/>
              </w:rPr>
              <w:t xml:space="preserve">4</w:t>
            </w:r>
          </w:p>
        </w:tc>
        <w:tc>
          <w:tcPr>
            <w:tcW w:w="2324" w:type="dxa"/>
            <w:tcBorders>
              <w:bottom w:val="nil"/>
            </w:tcBorders>
          </w:tcPr>
          <w:p>
            <w:pPr>
              <w:pStyle w:val="0"/>
            </w:pPr>
            <w:r>
              <w:rPr>
                <w:sz w:val="20"/>
              </w:rPr>
              <w:t xml:space="preserve">Задачи подпрограммы 3</w:t>
            </w:r>
          </w:p>
        </w:tc>
        <w:tc>
          <w:tcPr>
            <w:tcW w:w="6236" w:type="dxa"/>
            <w:tcBorders>
              <w:bottom w:val="nil"/>
            </w:tcBorders>
          </w:tcPr>
          <w:p>
            <w:pPr>
              <w:pStyle w:val="0"/>
              <w:jc w:val="both"/>
            </w:pPr>
            <w:r>
              <w:rPr>
                <w:sz w:val="20"/>
              </w:rPr>
              <w:t xml:space="preserve">1. Организация и ведение региональной базы данных по природопользованию и охране окружающей среды.</w:t>
            </w:r>
          </w:p>
          <w:p>
            <w:pPr>
              <w:pStyle w:val="0"/>
              <w:jc w:val="both"/>
            </w:pPr>
            <w:r>
              <w:rPr>
                <w:sz w:val="20"/>
              </w:rPr>
              <w:t xml:space="preserve">2. Внедрение бассейнового принципа в управление природопользования (реализация концепции бассейнового природопользования).</w:t>
            </w:r>
          </w:p>
          <w:p>
            <w:pPr>
              <w:pStyle w:val="0"/>
              <w:jc w:val="both"/>
            </w:pPr>
            <w:r>
              <w:rPr>
                <w:sz w:val="20"/>
              </w:rPr>
              <w:t xml:space="preserve">3.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w:t>
            </w:r>
          </w:p>
          <w:p>
            <w:pPr>
              <w:pStyle w:val="0"/>
              <w:jc w:val="both"/>
            </w:pPr>
            <w:r>
              <w:rPr>
                <w:sz w:val="20"/>
              </w:rPr>
              <w:t xml:space="preserve">4. Разработка проектно-сметной документации на рекультивацию объектов накопленного вреда окружающей среде.</w:t>
            </w:r>
          </w:p>
          <w:p>
            <w:pPr>
              <w:pStyle w:val="0"/>
              <w:jc w:val="both"/>
            </w:pPr>
            <w:r>
              <w:rPr>
                <w:sz w:val="20"/>
              </w:rPr>
              <w:t xml:space="preserve">5. Разработка системы инжиниринга зеленой инфраструктуры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(пп. 5 введен </w:t>
            </w:r>
            <w:hyperlink w:history="0" r:id="rId98"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tc>
      </w:tr>
      <w:tr>
        <w:tc>
          <w:tcPr>
            <w:tcW w:w="454" w:type="dxa"/>
          </w:tcPr>
          <w:p>
            <w:pPr>
              <w:pStyle w:val="0"/>
              <w:jc w:val="center"/>
            </w:pPr>
            <w:r>
              <w:rPr>
                <w:sz w:val="20"/>
              </w:rPr>
              <w:t xml:space="preserve">5</w:t>
            </w:r>
          </w:p>
        </w:tc>
        <w:tc>
          <w:tcPr>
            <w:tcW w:w="2324" w:type="dxa"/>
          </w:tcPr>
          <w:p>
            <w:pPr>
              <w:pStyle w:val="0"/>
            </w:pPr>
            <w:r>
              <w:rPr>
                <w:sz w:val="20"/>
              </w:rPr>
              <w:t xml:space="preserve">Сроки и этапы реализации подпрограммы 3</w:t>
            </w:r>
          </w:p>
        </w:tc>
        <w:tc>
          <w:tcPr>
            <w:tcW w:w="6236" w:type="dxa"/>
          </w:tcPr>
          <w:p>
            <w:pPr>
              <w:pStyle w:val="0"/>
              <w:jc w:val="both"/>
            </w:pPr>
            <w:r>
              <w:rPr>
                <w:sz w:val="20"/>
              </w:rPr>
              <w:t xml:space="preserve">Реализация подпрограммы 3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Объем бюджетных ассигнований подпрограммы 3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pPr>
              <w:pStyle w:val="0"/>
              <w:jc w:val="both"/>
            </w:pPr>
            <w:r>
              <w:rPr>
                <w:sz w:val="20"/>
              </w:rPr>
              <w:t xml:space="preserve">Общий объем финансирования подпрограммы 3 в 2014 - 2025 годах за счет средств всех источников финансирования составит 378591,3 тыс. рублей. Планируемый объем финансирования из средств консолидированных бюджетов муниципальных образований - 18588,4 тыс. рублей. Объем финансирования подпрограммы 3 в 2014 - 2025 годах за счет областного бюджета составит 360002,9 тыс. рублей, в том числе по годам:</w:t>
            </w:r>
          </w:p>
          <w:p>
            <w:pPr>
              <w:pStyle w:val="0"/>
              <w:jc w:val="both"/>
            </w:pPr>
            <w:r>
              <w:rPr>
                <w:sz w:val="20"/>
              </w:rPr>
              <w:t xml:space="preserve">2014 год - 4994,0 тыс. рублей;</w:t>
            </w:r>
          </w:p>
          <w:p>
            <w:pPr>
              <w:pStyle w:val="0"/>
              <w:jc w:val="both"/>
            </w:pPr>
            <w:r>
              <w:rPr>
                <w:sz w:val="20"/>
              </w:rPr>
              <w:t xml:space="preserve">2015 год - 4298,0 тыс. рублей;</w:t>
            </w:r>
          </w:p>
          <w:p>
            <w:pPr>
              <w:pStyle w:val="0"/>
              <w:jc w:val="both"/>
            </w:pPr>
            <w:r>
              <w:rPr>
                <w:sz w:val="20"/>
              </w:rPr>
              <w:t xml:space="preserve">2016 год - 3833,0 тыс. рублей;</w:t>
            </w:r>
          </w:p>
          <w:p>
            <w:pPr>
              <w:pStyle w:val="0"/>
              <w:jc w:val="both"/>
            </w:pPr>
            <w:r>
              <w:rPr>
                <w:sz w:val="20"/>
              </w:rPr>
              <w:t xml:space="preserve">2017 год - 3392,0 тыс. рублей;</w:t>
            </w:r>
          </w:p>
          <w:p>
            <w:pPr>
              <w:pStyle w:val="0"/>
              <w:jc w:val="both"/>
            </w:pPr>
            <w:r>
              <w:rPr>
                <w:sz w:val="20"/>
              </w:rPr>
              <w:t xml:space="preserve">2018 год - 21091,0 тыс. рублей;</w:t>
            </w:r>
          </w:p>
          <w:p>
            <w:pPr>
              <w:pStyle w:val="0"/>
              <w:jc w:val="both"/>
            </w:pPr>
            <w:r>
              <w:rPr>
                <w:sz w:val="20"/>
              </w:rPr>
              <w:t xml:space="preserve">2019 год - 13227,0 тыс. рублей;</w:t>
            </w:r>
          </w:p>
          <w:p>
            <w:pPr>
              <w:pStyle w:val="0"/>
              <w:jc w:val="both"/>
            </w:pPr>
            <w:r>
              <w:rPr>
                <w:sz w:val="20"/>
              </w:rPr>
              <w:t xml:space="preserve">2020 год - 3988,1 тыс. рублей;</w:t>
            </w:r>
          </w:p>
          <w:p>
            <w:pPr>
              <w:pStyle w:val="0"/>
              <w:jc w:val="both"/>
            </w:pPr>
            <w:r>
              <w:rPr>
                <w:sz w:val="20"/>
              </w:rPr>
              <w:t xml:space="preserve">2021 год - 6345,6 тыс. рублей;</w:t>
            </w:r>
          </w:p>
          <w:p>
            <w:pPr>
              <w:pStyle w:val="0"/>
              <w:jc w:val="both"/>
            </w:pPr>
            <w:r>
              <w:rPr>
                <w:sz w:val="20"/>
              </w:rPr>
              <w:t xml:space="preserve">2022 год - 89727,6 тыс. рублей;</w:t>
            </w:r>
          </w:p>
          <w:p>
            <w:pPr>
              <w:pStyle w:val="0"/>
              <w:jc w:val="both"/>
            </w:pPr>
            <w:r>
              <w:rPr>
                <w:sz w:val="20"/>
              </w:rPr>
              <w:t xml:space="preserve">2023 год - 87249,6 тыс. рублей;</w:t>
            </w:r>
          </w:p>
          <w:p>
            <w:pPr>
              <w:pStyle w:val="0"/>
              <w:jc w:val="both"/>
            </w:pPr>
            <w:r>
              <w:rPr>
                <w:sz w:val="20"/>
              </w:rPr>
              <w:t xml:space="preserve">2024 год - 62178,5 тыс. рублей;</w:t>
            </w:r>
          </w:p>
          <w:p>
            <w:pPr>
              <w:pStyle w:val="0"/>
              <w:jc w:val="both"/>
            </w:pPr>
            <w:r>
              <w:rPr>
                <w:sz w:val="20"/>
              </w:rPr>
              <w:t xml:space="preserve">2025 год - 59678,5 тыс.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9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blPrEx>
          <w:tblBorders>
            <w:insideH w:val="nil"/>
          </w:tblBorders>
        </w:tblPrEx>
        <w:tc>
          <w:tcPr>
            <w:tcW w:w="454" w:type="dxa"/>
            <w:tcBorders>
              <w:bottom w:val="nil"/>
            </w:tcBorders>
          </w:tcPr>
          <w:p>
            <w:pPr>
              <w:pStyle w:val="0"/>
              <w:jc w:val="center"/>
            </w:pPr>
            <w:r>
              <w:rPr>
                <w:sz w:val="20"/>
              </w:rPr>
              <w:t xml:space="preserve">7</w:t>
            </w:r>
          </w:p>
        </w:tc>
        <w:tc>
          <w:tcPr>
            <w:tcW w:w="2324" w:type="dxa"/>
            <w:tcBorders>
              <w:bottom w:val="nil"/>
            </w:tcBorders>
          </w:tcPr>
          <w:p>
            <w:pPr>
              <w:pStyle w:val="0"/>
            </w:pPr>
            <w:r>
              <w:rPr>
                <w:sz w:val="20"/>
              </w:rPr>
              <w:t xml:space="preserve">Конечные результаты реализации подпрограммы 3</w:t>
            </w:r>
          </w:p>
        </w:tc>
        <w:tc>
          <w:tcPr>
            <w:tcW w:w="6236" w:type="dxa"/>
            <w:tcBorders>
              <w:bottom w:val="nil"/>
            </w:tcBorders>
          </w:tcPr>
          <w:p>
            <w:pPr>
              <w:pStyle w:val="0"/>
              <w:jc w:val="both"/>
            </w:pPr>
            <w:r>
              <w:rPr>
                <w:sz w:val="20"/>
              </w:rPr>
              <w:t xml:space="preserve">Планируется:</w:t>
            </w:r>
          </w:p>
          <w:p>
            <w:pPr>
              <w:pStyle w:val="0"/>
              <w:jc w:val="both"/>
            </w:pPr>
            <w:r>
              <w:rPr>
                <w:sz w:val="20"/>
              </w:rPr>
              <w:t xml:space="preserve">1. Увеличение доли гидротехнических сооружений с неудовлетворительным и опасным уровнем безопасности, приведенных в безопасное техническое состояние, до 37,7 процента к 2016 году.</w:t>
            </w:r>
          </w:p>
          <w:p>
            <w:pPr>
              <w:pStyle w:val="0"/>
              <w:jc w:val="both"/>
            </w:pPr>
            <w:r>
              <w:rPr>
                <w:sz w:val="20"/>
              </w:rPr>
              <w:t xml:space="preserve">2. Увеличение количества подготовленных проектных решений и отчетов, направленных на экологическую безопасность, стабилизацию и улучшение качества окружающей среды, до 78 штук к 2025 году</w:t>
            </w:r>
          </w:p>
        </w:tc>
      </w:tr>
      <w:tr>
        <w:tblPrEx>
          <w:tblBorders>
            <w:insideH w:val="nil"/>
          </w:tblBorders>
        </w:tblPrEx>
        <w:tc>
          <w:tcPr>
            <w:gridSpan w:val="3"/>
            <w:tcW w:w="9014" w:type="dxa"/>
            <w:tcBorders>
              <w:top w:val="nil"/>
            </w:tcBorders>
          </w:tcPr>
          <w:p>
            <w:pPr>
              <w:pStyle w:val="0"/>
              <w:jc w:val="both"/>
            </w:pPr>
            <w:r>
              <w:rPr>
                <w:sz w:val="20"/>
              </w:rPr>
              <w:t xml:space="preserve">(в ред. постановлений Правительства Белгородской области от 20.07.2020 </w:t>
            </w:r>
            <w:hyperlink w:history="0" r:id="rId10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rPr>
              <w:t xml:space="preserve">, от 22.03.2021 </w:t>
            </w:r>
            <w:hyperlink w:history="0" r:id="rId101"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rPr>
              <w:t xml:space="preserve">, от 17.01.2022 </w:t>
            </w:r>
            <w:hyperlink w:history="0" r:id="rId102"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rPr>
              <w:t xml:space="preserve">)</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3, описание</w:t>
      </w:r>
    </w:p>
    <w:p>
      <w:pPr>
        <w:pStyle w:val="2"/>
        <w:jc w:val="center"/>
      </w:pPr>
      <w:r>
        <w:rPr>
          <w:sz w:val="20"/>
        </w:rPr>
        <w:t xml:space="preserve">основных проблем в указанной сфере и прогноз развития</w:t>
      </w:r>
    </w:p>
    <w:p>
      <w:pPr>
        <w:pStyle w:val="0"/>
        <w:jc w:val="both"/>
      </w:pPr>
      <w:r>
        <w:rPr>
          <w:sz w:val="20"/>
        </w:rPr>
      </w:r>
    </w:p>
    <w:p>
      <w:pPr>
        <w:pStyle w:val="0"/>
        <w:ind w:firstLine="540"/>
        <w:jc w:val="both"/>
      </w:pPr>
      <w:r>
        <w:rPr>
          <w:sz w:val="20"/>
        </w:rPr>
        <w:t xml:space="preserve">В соответствии со Стратегией области одной из основных стратегических задач области является рациональное использование и воспроизводство природных ресурсов, сохранение природной среды.</w:t>
      </w:r>
    </w:p>
    <w:p>
      <w:pPr>
        <w:pStyle w:val="0"/>
        <w:spacing w:before="200" w:line-rule="auto"/>
        <w:ind w:firstLine="540"/>
        <w:jc w:val="both"/>
      </w:pPr>
      <w:r>
        <w:rPr>
          <w:sz w:val="20"/>
        </w:rPr>
        <w:t xml:space="preserve">Для реализации намеченной задачи необходимо формирование обновленной системы экологического регулирования, соответствующей приоритетам постиндустриального общества и предусматривающей:</w:t>
      </w:r>
    </w:p>
    <w:p>
      <w:pPr>
        <w:pStyle w:val="0"/>
        <w:spacing w:before="200" w:line-rule="auto"/>
        <w:ind w:firstLine="540"/>
        <w:jc w:val="both"/>
      </w:pPr>
      <w:r>
        <w:rPr>
          <w:sz w:val="20"/>
        </w:rPr>
        <w:t xml:space="preserve">- эффективное государственное управление охраной окружающей среды;</w:t>
      </w:r>
    </w:p>
    <w:p>
      <w:pPr>
        <w:pStyle w:val="0"/>
        <w:spacing w:before="200" w:line-rule="auto"/>
        <w:ind w:firstLine="540"/>
        <w:jc w:val="both"/>
      </w:pPr>
      <w:r>
        <w:rPr>
          <w:sz w:val="20"/>
        </w:rPr>
        <w:t xml:space="preserve">- усиление государственного контроля за выявлением и пресечением экологических правонарушений;</w:t>
      </w:r>
    </w:p>
    <w:p>
      <w:pPr>
        <w:pStyle w:val="0"/>
        <w:spacing w:before="200" w:line-rule="auto"/>
        <w:ind w:firstLine="540"/>
        <w:jc w:val="both"/>
      </w:pPr>
      <w:r>
        <w:rPr>
          <w:sz w:val="20"/>
        </w:rPr>
        <w:t xml:space="preserve">- создание эффективного правового механизма обеспечения сохранения природной среды и экологической безопасности;</w:t>
      </w:r>
    </w:p>
    <w:p>
      <w:pPr>
        <w:pStyle w:val="0"/>
        <w:spacing w:before="200" w:line-rule="auto"/>
        <w:ind w:firstLine="540"/>
        <w:jc w:val="both"/>
      </w:pPr>
      <w:r>
        <w:rPr>
          <w:sz w:val="20"/>
        </w:rPr>
        <w:t xml:space="preserve">- развитие единой системы экологического мониторинга на всей территории области; формирование и ведение кадастров экологически опасных объектов, природных ресурсов, особо охраняемых природных территорий;</w:t>
      </w:r>
    </w:p>
    <w:p>
      <w:pPr>
        <w:pStyle w:val="0"/>
        <w:spacing w:before="200" w:line-rule="auto"/>
        <w:ind w:firstLine="540"/>
        <w:jc w:val="both"/>
      </w:pPr>
      <w:r>
        <w:rPr>
          <w:sz w:val="20"/>
        </w:rPr>
        <w:t xml:space="preserve">- внедрение природно-ландшафтного, в том числе бассейнового, принципов управления природными комплексами;</w:t>
      </w:r>
    </w:p>
    <w:p>
      <w:pPr>
        <w:pStyle w:val="0"/>
        <w:spacing w:before="200" w:line-rule="auto"/>
        <w:ind w:firstLine="540"/>
        <w:jc w:val="both"/>
      </w:pPr>
      <w:r>
        <w:rPr>
          <w:sz w:val="20"/>
        </w:rPr>
        <w:t xml:space="preserve">- создание системы всеобщего экологического образования в области, формирование экологического мировоззрения населения.</w:t>
      </w:r>
    </w:p>
    <w:p>
      <w:pPr>
        <w:pStyle w:val="0"/>
        <w:spacing w:before="200" w:line-rule="auto"/>
        <w:ind w:firstLine="540"/>
        <w:jc w:val="both"/>
      </w:pPr>
      <w:r>
        <w:rPr>
          <w:sz w:val="20"/>
        </w:rPr>
        <w:t xml:space="preserve">В целях реализации указанных направлений намечается реализация следующих мероприятий:</w:t>
      </w:r>
    </w:p>
    <w:p>
      <w:pPr>
        <w:pStyle w:val="0"/>
        <w:spacing w:before="200" w:line-rule="auto"/>
        <w:ind w:firstLine="540"/>
        <w:jc w:val="both"/>
      </w:pPr>
      <w:r>
        <w:rPr>
          <w:sz w:val="20"/>
        </w:rPr>
        <w:t xml:space="preserve">- разработка и реализация проектов бассейнового природопользования;</w:t>
      </w:r>
    </w:p>
    <w:p>
      <w:pPr>
        <w:pStyle w:val="0"/>
        <w:spacing w:before="200" w:line-rule="auto"/>
        <w:ind w:firstLine="540"/>
        <w:jc w:val="both"/>
      </w:pPr>
      <w:r>
        <w:rPr>
          <w:sz w:val="20"/>
        </w:rPr>
        <w:t xml:space="preserve">- повышение экологической культуры населения, активизации природоохранной деятельности.</w:t>
      </w:r>
    </w:p>
    <w:p>
      <w:pPr>
        <w:pStyle w:val="0"/>
        <w:spacing w:before="200" w:line-rule="auto"/>
        <w:ind w:firstLine="540"/>
        <w:jc w:val="both"/>
      </w:pPr>
      <w:r>
        <w:rPr>
          <w:sz w:val="20"/>
        </w:rPr>
        <w:t xml:space="preserve">В целях обеспечения условий для реализации экологической политики в области издано </w:t>
      </w:r>
      <w:hyperlink w:history="0" r:id="rId103" w:tooltip="Распоряжение правительства Белгородской обл. от 27.02.2012 N 116-рп &quot;Об утверждении концепции бассейнового природопользования в Белгородской области&quot; {КонсультантПлюс}">
        <w:r>
          <w:rPr>
            <w:sz w:val="20"/>
            <w:color w:val="0000ff"/>
          </w:rPr>
          <w:t xml:space="preserve">распоряжение</w:t>
        </w:r>
      </w:hyperlink>
      <w:r>
        <w:rPr>
          <w:sz w:val="20"/>
        </w:rPr>
        <w:t xml:space="preserve"> Правительства Белгородской области от 27 февраля 2012 года N 116-рп "Об утверждении концепции бассейнового природопользования в Белгородской области" и принято </w:t>
      </w:r>
      <w:hyperlink w:history="0" r:id="rId104" w:tooltip="Постановление правительства Белгородской обл. от 15.10.2012 N 414-пп (ред. от 02.09.2013) &quot;Об утверждении долгосрочной целевой программы &quot;Развитие водохозяйственного комплекса Белгородской области в 2013 - 2020 годах&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15 октября 2012 года N 414-пп "Об утверждении долгосрочной целевой программы "Развитие водохозяйственного комплекса Белгородской области в 2013 - 2020 годах".</w:t>
      </w:r>
    </w:p>
    <w:p>
      <w:pPr>
        <w:pStyle w:val="0"/>
        <w:spacing w:before="200" w:line-rule="auto"/>
        <w:ind w:firstLine="540"/>
        <w:jc w:val="both"/>
      </w:pPr>
      <w:r>
        <w:rPr>
          <w:sz w:val="20"/>
        </w:rPr>
        <w:t xml:space="preserve">Мировой опыт свидетельствует, что экологически безопасное природопользование в значительной мере обусловлено совершенствованием действующих механизмов государственного управления в области рационального использования, охраны и восстановления природных ресурсов.</w:t>
      </w:r>
    </w:p>
    <w:p>
      <w:pPr>
        <w:pStyle w:val="0"/>
        <w:spacing w:before="200" w:line-rule="auto"/>
        <w:ind w:firstLine="540"/>
        <w:jc w:val="both"/>
      </w:pPr>
      <w:r>
        <w:rPr>
          <w:sz w:val="20"/>
        </w:rPr>
        <w:t xml:space="preserve">В условиях активного проявления деградационных процессов современное природопользование должно быть ориентировано на рациональное использование природных ресурсов.</w:t>
      </w:r>
    </w:p>
    <w:p>
      <w:pPr>
        <w:pStyle w:val="0"/>
        <w:spacing w:before="200" w:line-rule="auto"/>
        <w:ind w:firstLine="540"/>
        <w:jc w:val="both"/>
      </w:pPr>
      <w:r>
        <w:rPr>
          <w:sz w:val="20"/>
        </w:rPr>
        <w:t xml:space="preserve">За последние десятилетия в Белгородской. области отмечались следующие тенденции, отразившиеся на качестве окружающей среды и природных ресурсов: продолжились концентрация промышленности и транспорта в городах и поселках, развитие горнодобывающего, металлургического и агропромышленного комплексов, рост численности и плотности населения области, дальнейшее хозяйственное освоение территории области с одновременным уменьшением площадей относительно нетронутых естественных экосистем, возрастание антропогенных и техногенных нагрузок на окружающую среду с одновременным уменьшением экологической емкости региона, увеличение объемов изъятия невозобновляемых минеральных ресурсов (железной руды, мела, глин, песка, строительных камней, воды).</w:t>
      </w:r>
    </w:p>
    <w:p>
      <w:pPr>
        <w:pStyle w:val="0"/>
        <w:spacing w:before="200" w:line-rule="auto"/>
        <w:ind w:firstLine="540"/>
        <w:jc w:val="both"/>
      </w:pPr>
      <w:r>
        <w:rPr>
          <w:sz w:val="20"/>
        </w:rPr>
        <w:t xml:space="preserve">Белгородская область относится к малообеспеченным водным регионам России. Менее 1 процента территории занято поверхностными водами, из них большая доля приходится на реки (зарегистрировано свыше 500 рек и ручьев общей протяженностью более 5 тыс. км).</w:t>
      </w:r>
    </w:p>
    <w:p>
      <w:pPr>
        <w:pStyle w:val="0"/>
        <w:spacing w:before="200" w:line-rule="auto"/>
        <w:ind w:firstLine="540"/>
        <w:jc w:val="both"/>
      </w:pPr>
      <w:r>
        <w:rPr>
          <w:sz w:val="20"/>
        </w:rPr>
        <w:t xml:space="preserve">Территория области наиболее эродирована среди областей Центрально-Черноземного региона. По уточненным данным, общая площадь эродированных почв области составляет 53,6 процента, в том числе сельскохозяйственных угодий - 50,7 процента. Ежегодные потери вследствие эрозии почвы с пахотных земель Центрально-Черноземного региона с крутизной более 1 градуса составляют 1,25 млн тонн гумуса.</w:t>
      </w:r>
    </w:p>
    <w:p>
      <w:pPr>
        <w:pStyle w:val="0"/>
        <w:spacing w:before="200" w:line-rule="auto"/>
        <w:ind w:firstLine="540"/>
        <w:jc w:val="both"/>
      </w:pPr>
      <w:r>
        <w:rPr>
          <w:sz w:val="20"/>
        </w:rPr>
        <w:t xml:space="preserve">Определение мероприятий для включения в подпрограмму 3 проведено на основе анализа наиболее острых проблем водного потенциала области и водопользования с учетом предложений администраций муниципальных районов и городских округов.</w:t>
      </w:r>
    </w:p>
    <w:p>
      <w:pPr>
        <w:pStyle w:val="0"/>
        <w:spacing w:before="200" w:line-rule="auto"/>
        <w:ind w:firstLine="540"/>
        <w:jc w:val="both"/>
      </w:pPr>
      <w:r>
        <w:rPr>
          <w:sz w:val="20"/>
        </w:rPr>
        <w:t xml:space="preserve">Поверхностные водные объекты используются для нужд промышленности и энергетики, культурно-бытового водопользования и рекреации, водопотребления и водоотведения. Структура промышленного водопотребления в области в целом стабильна и распределяется следующим образом: 36,8 процента - на объекты хозяйственно-питьевого назначения и 38,2 процента - на производственные нужды; 21,1 процента - на прудоворыбное хозяйство и 3,7 процента - на водоснабжение предприятий сельского хозяйства. Основной объем - 34,3 процента, или 99,63 млн куб. метров, приходится на предприятия жилищно-коммунального хозяйства и 38,7 процента (112,41 млн куб. метров) - на объекты промышленности.</w:t>
      </w:r>
    </w:p>
    <w:p>
      <w:pPr>
        <w:pStyle w:val="0"/>
        <w:spacing w:before="200" w:line-rule="auto"/>
        <w:ind w:firstLine="540"/>
        <w:jc w:val="both"/>
      </w:pPr>
      <w:r>
        <w:rPr>
          <w:sz w:val="20"/>
        </w:rPr>
        <w:t xml:space="preserve">Основная часть водосборов расположена в густонаселенных районах с развитой промышленностью и сельскохозяйственным производством.</w:t>
      </w:r>
    </w:p>
    <w:p>
      <w:pPr>
        <w:pStyle w:val="0"/>
        <w:spacing w:before="200" w:line-rule="auto"/>
        <w:ind w:firstLine="540"/>
        <w:jc w:val="both"/>
      </w:pPr>
      <w:r>
        <w:rPr>
          <w:sz w:val="20"/>
        </w:rPr>
        <w:t xml:space="preserve">Прослеживается тенденция уменьшения поверхностного водозабора при увеличении подземного водозабора, в основном за счет увеличения забора воды на объектах сельского хозяйства - птицефабриках и свинокомплексах. Объем забора воды из поверхностных водных объектов в четыре раза меньше, чем сброс воды в них.</w:t>
      </w:r>
    </w:p>
    <w:p>
      <w:pPr>
        <w:pStyle w:val="0"/>
        <w:spacing w:before="200" w:line-rule="auto"/>
        <w:ind w:firstLine="540"/>
        <w:jc w:val="both"/>
      </w:pPr>
      <w:r>
        <w:rPr>
          <w:sz w:val="20"/>
        </w:rPr>
        <w:t xml:space="preserve">В целях совершенствования действующих механизмов государственного управления в области рационального использования, охраны и восстановления природных ресурсов Белгородской области </w:t>
      </w:r>
      <w:hyperlink w:history="0" r:id="rId105" w:tooltip="Распоряжение правительства Белгородской обл. от 27.02.2012 N 116-рп &quot;Об утверждении концепции бассейнового природопользования в Белгородской области&quot; {КонсультантПлюс}">
        <w:r>
          <w:rPr>
            <w:sz w:val="20"/>
            <w:color w:val="0000ff"/>
          </w:rPr>
          <w:t xml:space="preserve">распоряжением</w:t>
        </w:r>
      </w:hyperlink>
      <w:r>
        <w:rPr>
          <w:sz w:val="20"/>
        </w:rPr>
        <w:t xml:space="preserve"> Правительства области от 27 февраля 2012 года N 116-рп утверждена Концепция бассейнового природопользования.</w:t>
      </w:r>
    </w:p>
    <w:p>
      <w:pPr>
        <w:pStyle w:val="0"/>
        <w:spacing w:before="200" w:line-rule="auto"/>
        <w:ind w:firstLine="540"/>
        <w:jc w:val="both"/>
      </w:pPr>
      <w:r>
        <w:rPr>
          <w:sz w:val="20"/>
        </w:rPr>
        <w:t xml:space="preserve">За период с 2011 года были разработаны проекты бассейнового природопользования для 31 речного бассейна. Всего разработано 60 проектов бассейнового природопользования на площади около 14 тыс. кв. км, что составляет более половины всей площади области.</w:t>
      </w:r>
    </w:p>
    <w:p>
      <w:pPr>
        <w:pStyle w:val="0"/>
        <w:spacing w:before="200" w:line-rule="auto"/>
        <w:ind w:firstLine="540"/>
        <w:jc w:val="both"/>
      </w:pPr>
      <w:r>
        <w:rPr>
          <w:sz w:val="20"/>
        </w:rPr>
        <w:t xml:space="preserve">В проектах бассейнового природопользования, на основе анализа социально-экономической и экологической ситуации в бассейне реки, разрабатываются конкретные природоохранные мероприятия и рекомендации по снижению антропогенного воздействия и охране окружающей среды территории.</w:t>
      </w:r>
    </w:p>
    <w:p>
      <w:pPr>
        <w:pStyle w:val="0"/>
        <w:spacing w:before="200" w:line-rule="auto"/>
        <w:ind w:firstLine="540"/>
        <w:jc w:val="both"/>
      </w:pPr>
      <w:r>
        <w:rPr>
          <w:sz w:val="20"/>
        </w:rPr>
        <w:t xml:space="preserve">Текущее состояние водохозяйственного комплекса Белгородской области имеет серьезные социально-экономические проблемы. Состояние и эксплуатация гидротехнических сооружений на территории Белгородской области остаются неудовлетворительными, что с каждым годом увеличивает вероятность возникновения крупных аварий с неблагоприятными последствиями для населения. Результаты обследования гидротехнических сооружений на территории области свидетельствуют о том, что 55 из них находится в аварийном и предаварийном состоянии.</w:t>
      </w:r>
    </w:p>
    <w:p>
      <w:pPr>
        <w:pStyle w:val="0"/>
        <w:spacing w:before="200" w:line-rule="auto"/>
        <w:ind w:firstLine="540"/>
        <w:jc w:val="both"/>
      </w:pPr>
      <w:r>
        <w:rPr>
          <w:sz w:val="20"/>
        </w:rPr>
        <w:t xml:space="preserve">Данные Росстата свидетельствуют о значительном усилении интенсивности аварий по мере увеличения возраста гидротехнических сооружений. За последние годы эксплуатации гидроузлов на большинстве из них образовалось значительное количество дефектов и локальных повреждений. Практически все сооружения нуждаются в проведении ремонтных работ различной степени капитальности. К тому же нарушаются правила эксплуатации гидроузлов, отсутствует постоянный надзор за сооружениями.</w:t>
      </w:r>
    </w:p>
    <w:p>
      <w:pPr>
        <w:pStyle w:val="0"/>
        <w:spacing w:before="200" w:line-rule="auto"/>
        <w:ind w:firstLine="540"/>
        <w:jc w:val="both"/>
      </w:pPr>
      <w:r>
        <w:rPr>
          <w:sz w:val="20"/>
        </w:rPr>
        <w:t xml:space="preserve">В области активно ведется работа и по развитию системы непрерывного экологического образования. В 194 (30,3 процента) школах предмет "Экология" изучали 4180 учащихся, что составляет 3,1 процента от общего контингента учащихся области.</w:t>
      </w:r>
    </w:p>
    <w:p>
      <w:pPr>
        <w:pStyle w:val="0"/>
        <w:spacing w:before="200" w:line-rule="auto"/>
        <w:ind w:firstLine="540"/>
        <w:jc w:val="both"/>
      </w:pPr>
      <w:r>
        <w:rPr>
          <w:sz w:val="20"/>
        </w:rPr>
        <w:t xml:space="preserve">Анализ организации и состояния экологического образования и воспитания в региональной системе общего образования детей показал, что экологическим образованием охвачено 19,2 процента школьников сельских территорий и городских - 12,1 процента. Общий охват составляет 15,5 процента. Развитию учебно-исследовательской деятельности способствует участие школьников в конкурсах и конференциях различного уровня.</w:t>
      </w:r>
    </w:p>
    <w:p>
      <w:pPr>
        <w:pStyle w:val="0"/>
        <w:spacing w:before="200" w:line-rule="auto"/>
        <w:ind w:firstLine="540"/>
        <w:jc w:val="both"/>
      </w:pPr>
      <w:r>
        <w:rPr>
          <w:sz w:val="20"/>
        </w:rPr>
        <w:t xml:space="preserve">Эффективная реализация системы экологического образования осуществляется большинством общеобразовательных учреждений области при творческом взаимодействии с учреждениями дополнительного образования эколого-биологической направленности.</w:t>
      </w:r>
    </w:p>
    <w:p>
      <w:pPr>
        <w:pStyle w:val="0"/>
        <w:jc w:val="both"/>
      </w:pPr>
      <w:r>
        <w:rPr>
          <w:sz w:val="20"/>
        </w:rPr>
      </w:r>
    </w:p>
    <w:p>
      <w:pPr>
        <w:pStyle w:val="2"/>
        <w:outlineLvl w:val="2"/>
        <w:jc w:val="center"/>
      </w:pPr>
      <w:r>
        <w:rPr>
          <w:sz w:val="20"/>
        </w:rPr>
        <w:t xml:space="preserve">2. Цели, задачи, сроки и этапы реализации подпрограммы 3</w:t>
      </w:r>
    </w:p>
    <w:p>
      <w:pPr>
        <w:pStyle w:val="0"/>
        <w:jc w:val="both"/>
      </w:pPr>
      <w:r>
        <w:rPr>
          <w:sz w:val="20"/>
        </w:rPr>
      </w:r>
    </w:p>
    <w:p>
      <w:pPr>
        <w:pStyle w:val="0"/>
        <w:ind w:firstLine="540"/>
        <w:jc w:val="both"/>
      </w:pPr>
      <w:r>
        <w:rPr>
          <w:sz w:val="20"/>
        </w:rPr>
        <w:t xml:space="preserve">Целью подпрограммы 3 является создание условий для стабилизации и улучшения качества окружающей среды области, экологической безопасности, повышение экологической культуры населения.</w:t>
      </w:r>
    </w:p>
    <w:p>
      <w:pPr>
        <w:pStyle w:val="0"/>
        <w:spacing w:before="200" w:line-rule="auto"/>
        <w:ind w:firstLine="540"/>
        <w:jc w:val="both"/>
      </w:pPr>
      <w:r>
        <w:rPr>
          <w:sz w:val="20"/>
        </w:rPr>
        <w:t xml:space="preserve">Для достижения намеченной цели необходимо решить следующие задачи:</w:t>
      </w:r>
    </w:p>
    <w:p>
      <w:pPr>
        <w:pStyle w:val="0"/>
        <w:spacing w:before="200" w:line-rule="auto"/>
        <w:ind w:firstLine="540"/>
        <w:jc w:val="both"/>
      </w:pPr>
      <w:r>
        <w:rPr>
          <w:sz w:val="20"/>
        </w:rPr>
        <w:t xml:space="preserve">- организация и ведение региональной базы данных по природопользованию и охране окружающей среды;</w:t>
      </w:r>
    </w:p>
    <w:p>
      <w:pPr>
        <w:pStyle w:val="0"/>
        <w:spacing w:before="200" w:line-rule="auto"/>
        <w:ind w:firstLine="540"/>
        <w:jc w:val="both"/>
      </w:pPr>
      <w:r>
        <w:rPr>
          <w:sz w:val="20"/>
        </w:rPr>
        <w:t xml:space="preserve">- внедрение бассейнового принципа в управление природопользования (реализация концепции бассейнового природопользования);</w:t>
      </w:r>
    </w:p>
    <w:p>
      <w:pPr>
        <w:pStyle w:val="0"/>
        <w:spacing w:before="200" w:line-rule="auto"/>
        <w:ind w:firstLine="540"/>
        <w:jc w:val="both"/>
      </w:pPr>
      <w:r>
        <w:rPr>
          <w:sz w:val="20"/>
        </w:rPr>
        <w:t xml:space="preserve">-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w:t>
      </w:r>
    </w:p>
    <w:p>
      <w:pPr>
        <w:pStyle w:val="0"/>
        <w:spacing w:before="200" w:line-rule="auto"/>
        <w:ind w:firstLine="540"/>
        <w:jc w:val="both"/>
      </w:pPr>
      <w:r>
        <w:rPr>
          <w:sz w:val="20"/>
        </w:rPr>
        <w:t xml:space="preserve">- разработка проектно-сметной документации на рекультивацию объектов накопленного вреда окружающей среде;</w:t>
      </w:r>
    </w:p>
    <w:p>
      <w:pPr>
        <w:pStyle w:val="0"/>
        <w:spacing w:before="200" w:line-rule="auto"/>
        <w:ind w:firstLine="540"/>
        <w:jc w:val="both"/>
      </w:pPr>
      <w:r>
        <w:rPr>
          <w:sz w:val="20"/>
        </w:rPr>
        <w:t xml:space="preserve">- разработка системы инжиниринга зеленой инфраструктуры Белгородской области.</w:t>
      </w:r>
    </w:p>
    <w:p>
      <w:pPr>
        <w:pStyle w:val="0"/>
        <w:jc w:val="both"/>
      </w:pPr>
      <w:r>
        <w:rPr>
          <w:sz w:val="20"/>
        </w:rPr>
        <w:t xml:space="preserve">(абзац введен </w:t>
      </w:r>
      <w:hyperlink w:history="0" r:id="rId106"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Реализация подпрограммы 3 осуществляется в два этапа: 1 - 2014 - 2020 годы;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3</w:t>
      </w:r>
    </w:p>
    <w:p>
      <w:pPr>
        <w:pStyle w:val="0"/>
        <w:jc w:val="both"/>
      </w:pPr>
      <w:r>
        <w:rPr>
          <w:sz w:val="20"/>
        </w:rPr>
      </w:r>
    </w:p>
    <w:p>
      <w:pPr>
        <w:pStyle w:val="0"/>
        <w:ind w:firstLine="540"/>
        <w:jc w:val="both"/>
      </w:pPr>
      <w:r>
        <w:rPr>
          <w:sz w:val="20"/>
        </w:rPr>
        <w:t xml:space="preserve">Мероприятия подпрограммы 3 направлены на стимулирование природоохранной деятельности природопользователей и создание новых форм управления этим процессом, а также организации экологического мониторинга и ведения единой пространственной базы данных.</w:t>
      </w:r>
    </w:p>
    <w:p>
      <w:pPr>
        <w:pStyle w:val="0"/>
        <w:spacing w:before="200" w:line-rule="auto"/>
        <w:ind w:firstLine="540"/>
        <w:jc w:val="both"/>
      </w:pPr>
      <w:r>
        <w:rPr>
          <w:sz w:val="20"/>
        </w:rPr>
        <w:t xml:space="preserve">В рамках решения задачи 1 "Организация и ведение региональной базы данных по природопользованию и охране окружающей среды" будет реализовываться основное мероприятие 3.1 "Охрана окружающей среды и рациональное природопользование", которое предусматривает проведение регионального экологического мониторинга, создание региональной базы данных и эколого-просветительскую деятельность.</w:t>
      </w:r>
    </w:p>
    <w:p>
      <w:pPr>
        <w:pStyle w:val="0"/>
        <w:spacing w:before="200" w:line-rule="auto"/>
        <w:ind w:firstLine="540"/>
        <w:jc w:val="both"/>
      </w:pPr>
      <w:r>
        <w:rPr>
          <w:sz w:val="20"/>
        </w:rPr>
        <w:t xml:space="preserve">В рамках решения задачи 2 "Внедрение бассейнового принципа в управление природопользования (реализация концепции бассейнового природопользования)" будет реализовываться основное мероприятие 3.2 "Субсидии на разработку научно обоснованных проектов бассейнового природопользования", с помощью которого будут разработаны проекты бассейнового природопользования для всей территории Белгородской области и созданы административные механизмы исполнения проектных решений всеми природопользователями.</w:t>
      </w:r>
    </w:p>
    <w:p>
      <w:pPr>
        <w:pStyle w:val="0"/>
        <w:spacing w:before="200" w:line-rule="auto"/>
        <w:ind w:firstLine="540"/>
        <w:jc w:val="both"/>
      </w:pPr>
      <w:r>
        <w:rPr>
          <w:sz w:val="20"/>
        </w:rPr>
        <w:t xml:space="preserve">В рамках решения задачи 3 "Разработка проектно-сметной документации для осуществления капитального ремонта бесхозяйных и муниципальных гидротехнических сооружений и проектно-сметной документации по работам, направленным на предупреждение и снижение ущербов от наводнений и другого негативного воздействия вод" будет реализовываться основное мероприятие 3.3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в рамках которого будут разработаны проектно-сметные документации по аварийным и предаварийным гидротехническим сооружениям с целью предотвращения аварии на гидротехническом сооружении и предупреждения чрезвычайной ситуации регионального масштаба, а также проектно-сметная и землеустроительная документации по работам, направленным на охрану водных объектов и защиту территорий от негативного воздействия вод.</w:t>
      </w:r>
    </w:p>
    <w:p>
      <w:pPr>
        <w:pStyle w:val="0"/>
        <w:spacing w:before="200" w:line-rule="auto"/>
        <w:ind w:firstLine="540"/>
        <w:jc w:val="both"/>
      </w:pPr>
      <w:r>
        <w:rPr>
          <w:sz w:val="20"/>
        </w:rPr>
        <w:t xml:space="preserve">В рамках решения задачи 4 "Разработка проектно-сметной документации на рекультивацию объектов накопленного вреда окружающей среде" будет реализовываться основное мероприятие 3.4 "Субсидии на разработку проектно-сметной документации на рекультивацию объектов накопленного вреда окружающей среде".</w:t>
      </w:r>
    </w:p>
    <w:p>
      <w:pPr>
        <w:pStyle w:val="0"/>
        <w:spacing w:before="200" w:line-rule="auto"/>
        <w:ind w:firstLine="540"/>
        <w:jc w:val="both"/>
      </w:pPr>
      <w:r>
        <w:rPr>
          <w:sz w:val="20"/>
        </w:rPr>
        <w:t xml:space="preserve">В рамках решения задачи 5 "Разработка системы инжиниринга зеленой инфраструктуры Белгородской области" будет реализовываться основное мероприятие 3.5 "Разработка и реализация инновационных проектов в области охраны окружающей среды", реализация которого предусматривает изучение и внедрение системы инжиниринга урбобиоценоза &lt;*&gt; в 2022 - 2024 годах на пилотной территории - городской округ "Город Белгород".</w:t>
      </w:r>
    </w:p>
    <w:p>
      <w:pPr>
        <w:pStyle w:val="0"/>
        <w:jc w:val="both"/>
      </w:pPr>
      <w:r>
        <w:rPr>
          <w:sz w:val="20"/>
        </w:rPr>
        <w:t xml:space="preserve">(в ред. </w:t>
      </w:r>
      <w:hyperlink w:history="0" r:id="rId107"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w:t>
      </w:r>
    </w:p>
    <w:p>
      <w:pPr>
        <w:pStyle w:val="0"/>
        <w:spacing w:before="200" w:line-rule="auto"/>
        <w:ind w:firstLine="540"/>
        <w:jc w:val="both"/>
      </w:pPr>
      <w:r>
        <w:rPr>
          <w:sz w:val="20"/>
        </w:rPr>
        <w:t xml:space="preserve">&lt;*&gt; Под "урбобиоценозом" понимается пространственно ограниченная природно-техногенная система взаимосвязанных обменом вещества и энергии живых организмов, абиотических элементов, природных и техногенных, создающих городскую среду жизни человека, отвечающую его биологическим, психологическим, этническим, трудовым, экономическим и социальным потребностям.</w:t>
      </w:r>
    </w:p>
    <w:p>
      <w:pPr>
        <w:pStyle w:val="0"/>
        <w:jc w:val="both"/>
      </w:pPr>
      <w:r>
        <w:rPr>
          <w:sz w:val="20"/>
        </w:rPr>
        <w:t xml:space="preserve">(сноска введена </w:t>
      </w:r>
      <w:hyperlink w:history="0" r:id="rId10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06.02.2023 N 44-пп)</w:t>
      </w:r>
    </w:p>
    <w:p>
      <w:pPr>
        <w:pStyle w:val="0"/>
        <w:ind w:firstLine="540"/>
        <w:jc w:val="both"/>
      </w:pPr>
      <w:r>
        <w:rPr>
          <w:sz w:val="20"/>
        </w:rPr>
      </w:r>
    </w:p>
    <w:p>
      <w:pPr>
        <w:pStyle w:val="0"/>
        <w:ind w:firstLine="540"/>
        <w:jc w:val="both"/>
      </w:pPr>
      <w:r>
        <w:rPr>
          <w:sz w:val="20"/>
        </w:rPr>
        <w:t xml:space="preserve">Кроме того, планируется создание цифровой базы данных зеленой инфраструктуры города и проведение оценки вклада зеленых насаждений в экономику города, формирование пробных (экспериментальных) площадок по мониторингу за зелеными насаждениями (урбобиоценозами), а также разработка концепции развития городской среды на базе исследований городских урбобиоценозов с целью их масштабирования на другие муниципальные образования.</w:t>
      </w:r>
    </w:p>
    <w:p>
      <w:pPr>
        <w:pStyle w:val="0"/>
        <w:jc w:val="both"/>
      </w:pPr>
      <w:r>
        <w:rPr>
          <w:sz w:val="20"/>
        </w:rPr>
        <w:t xml:space="preserve">(абзац введен </w:t>
      </w:r>
      <w:hyperlink w:history="0" r:id="rId109"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Данный инновационный проект будет реализован АНО "Зеленая инфраструктура городов", целью которой является разработка и реализация инновационных проектов в области охраны окружающей среды, в том числе по разработке и внедрению системы инжиниринга урбобиоценоза на территории Белгородской области.</w:t>
      </w:r>
    </w:p>
    <w:p>
      <w:pPr>
        <w:pStyle w:val="0"/>
        <w:jc w:val="both"/>
      </w:pPr>
      <w:r>
        <w:rPr>
          <w:sz w:val="20"/>
        </w:rPr>
        <w:t xml:space="preserve">(абзац введен </w:t>
      </w:r>
      <w:hyperlink w:history="0" r:id="rId110"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hyperlink w:history="0" w:anchor="P11674" w:tooltip="Порядок">
        <w:r>
          <w:rPr>
            <w:sz w:val="20"/>
            <w:color w:val="0000ff"/>
          </w:rPr>
          <w:t xml:space="preserve">Порядок</w:t>
        </w:r>
      </w:hyperlink>
      <w:r>
        <w:rPr>
          <w:sz w:val="20"/>
        </w:rPr>
        <w:t xml:space="preserve"> предоставления субсидии из областного бюджета АНО "Зеленая инфраструктура городов" представлен в приложении N 14 к государственной программе.</w:t>
      </w:r>
    </w:p>
    <w:p>
      <w:pPr>
        <w:pStyle w:val="0"/>
        <w:jc w:val="both"/>
      </w:pPr>
      <w:r>
        <w:rPr>
          <w:sz w:val="20"/>
        </w:rPr>
        <w:t xml:space="preserve">(абзац введен </w:t>
      </w:r>
      <w:hyperlink w:history="0" r:id="rId111"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Система основных мероприятий и показателей подпрограммы 3 представлена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spacing w:before="200" w:line-rule="auto"/>
        <w:ind w:firstLine="540"/>
        <w:jc w:val="both"/>
      </w:pPr>
      <w:hyperlink w:history="0" w:anchor="P10484"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районов и городских округов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представлен в приложении N 8 к государственной программе.</w:t>
      </w:r>
    </w:p>
    <w:p>
      <w:pPr>
        <w:pStyle w:val="0"/>
        <w:jc w:val="both"/>
      </w:pPr>
      <w:r>
        <w:rPr>
          <w:sz w:val="20"/>
        </w:rPr>
        <w:t xml:space="preserve">(абзац введен </w:t>
      </w:r>
      <w:hyperlink w:history="0" r:id="rId112"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постановлением</w:t>
        </w:r>
      </w:hyperlink>
      <w:r>
        <w:rPr>
          <w:sz w:val="20"/>
        </w:rPr>
        <w:t xml:space="preserve"> Правительства Белгородской области от 20.07.2020 N 326-пп)</w:t>
      </w:r>
    </w:p>
    <w:p>
      <w:pPr>
        <w:pStyle w:val="0"/>
        <w:jc w:val="both"/>
      </w:pPr>
      <w:r>
        <w:rPr>
          <w:sz w:val="20"/>
        </w:rPr>
      </w:r>
    </w:p>
    <w:p>
      <w:pPr>
        <w:pStyle w:val="2"/>
        <w:outlineLvl w:val="2"/>
        <w:jc w:val="center"/>
      </w:pPr>
      <w:r>
        <w:rPr>
          <w:sz w:val="20"/>
        </w:rPr>
        <w:t xml:space="preserve">4. Прогноз конечных результатов подпрограммы 3.</w:t>
      </w:r>
    </w:p>
    <w:p>
      <w:pPr>
        <w:pStyle w:val="2"/>
        <w:jc w:val="center"/>
      </w:pPr>
      <w:r>
        <w:rPr>
          <w:sz w:val="20"/>
        </w:rPr>
        <w:t xml:space="preserve">Перечень показателей подпрограммы 3</w:t>
      </w:r>
    </w:p>
    <w:p>
      <w:pPr>
        <w:pStyle w:val="0"/>
        <w:jc w:val="both"/>
      </w:pPr>
      <w:r>
        <w:rPr>
          <w:sz w:val="20"/>
        </w:rPr>
      </w:r>
    </w:p>
    <w:p>
      <w:pPr>
        <w:pStyle w:val="0"/>
        <w:ind w:firstLine="540"/>
        <w:jc w:val="both"/>
      </w:pPr>
      <w:r>
        <w:rPr>
          <w:sz w:val="20"/>
        </w:rPr>
        <w:t xml:space="preserve">В результате реализации подпрограммы 3 к 2025 году планируется достижение следующих конечных результатов:</w:t>
      </w:r>
    </w:p>
    <w:p>
      <w:pPr>
        <w:pStyle w:val="0"/>
        <w:spacing w:before="200" w:line-rule="auto"/>
        <w:ind w:firstLine="540"/>
        <w:jc w:val="both"/>
      </w:pPr>
      <w:r>
        <w:rPr>
          <w:sz w:val="20"/>
        </w:rPr>
        <w:t xml:space="preserve">- увеличение доли гидротехнических сооружений с неудовлетворительным и опасным уровнем безопасности, приведенных в безопасное техническое состояние, до 37,7 процента к 2016 году;</w:t>
      </w:r>
    </w:p>
    <w:p>
      <w:pPr>
        <w:pStyle w:val="0"/>
        <w:spacing w:before="200" w:line-rule="auto"/>
        <w:ind w:firstLine="540"/>
        <w:jc w:val="both"/>
      </w:pPr>
      <w:r>
        <w:rPr>
          <w:sz w:val="20"/>
        </w:rPr>
        <w:t xml:space="preserve">- увеличение количества подготовленных проектных решений и отчетов, направленных на экологическую безопасность, стабилизацию и улучшение качества окружающей среды, до 78 штук к 2025 году.</w:t>
      </w:r>
    </w:p>
    <w:p>
      <w:pPr>
        <w:pStyle w:val="0"/>
        <w:jc w:val="both"/>
      </w:pPr>
      <w:r>
        <w:rPr>
          <w:sz w:val="20"/>
        </w:rPr>
        <w:t xml:space="preserve">(в ред. постановлений Правительства Белгородской области от 20.07.2020 </w:t>
      </w:r>
      <w:hyperlink w:history="0" r:id="rId11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rPr>
        <w:t xml:space="preserve">, от 22.03.2021 </w:t>
      </w:r>
      <w:hyperlink w:history="0" r:id="rId114"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rPr>
        <w:t xml:space="preserve">, от 17.01.2022 </w:t>
      </w:r>
      <w:hyperlink w:history="0" r:id="rId115"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rPr>
        <w:t xml:space="preserve">)</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5. Ресурсное обеспечение подпрограммы 3</w:t>
      </w:r>
    </w:p>
    <w:p>
      <w:pPr>
        <w:pStyle w:val="2"/>
        <w:jc w:val="center"/>
      </w:pPr>
      <w:r>
        <w:rPr>
          <w:sz w:val="20"/>
        </w:rPr>
        <w:t xml:space="preserve">(в разрезе главных распорядителей средств областного</w:t>
      </w:r>
    </w:p>
    <w:p>
      <w:pPr>
        <w:pStyle w:val="2"/>
        <w:jc w:val="center"/>
      </w:pPr>
      <w:r>
        <w:rPr>
          <w:sz w:val="20"/>
        </w:rPr>
        <w:t xml:space="preserve">бюджета, основных мероприятий, а также по</w:t>
      </w:r>
    </w:p>
    <w:p>
      <w:pPr>
        <w:pStyle w:val="2"/>
        <w:jc w:val="center"/>
      </w:pPr>
      <w:r>
        <w:rPr>
          <w:sz w:val="20"/>
        </w:rPr>
        <w:t xml:space="preserve">годам реализации подпрограммы 3)</w:t>
      </w:r>
    </w:p>
    <w:p>
      <w:pPr>
        <w:pStyle w:val="0"/>
        <w:jc w:val="both"/>
      </w:pPr>
      <w:r>
        <w:rPr>
          <w:sz w:val="20"/>
        </w:rPr>
      </w:r>
    </w:p>
    <w:p>
      <w:pPr>
        <w:pStyle w:val="0"/>
        <w:ind w:firstLine="540"/>
        <w:jc w:val="both"/>
      </w:pPr>
      <w:r>
        <w:rPr>
          <w:sz w:val="20"/>
        </w:rPr>
        <w:t xml:space="preserve">Планируемые объемы финансирования подпрограммы 3 в разрезе источников финансирования по годам реализации представлены в таблице 7.</w:t>
      </w:r>
    </w:p>
    <w:p>
      <w:pPr>
        <w:pStyle w:val="0"/>
        <w:jc w:val="both"/>
      </w:pPr>
      <w:r>
        <w:rPr>
          <w:sz w:val="20"/>
        </w:rPr>
      </w:r>
    </w:p>
    <w:p>
      <w:pPr>
        <w:pStyle w:val="0"/>
        <w:outlineLvl w:val="3"/>
        <w:jc w:val="right"/>
      </w:pPr>
      <w:r>
        <w:rPr>
          <w:sz w:val="20"/>
        </w:rPr>
        <w:t xml:space="preserve">Таблица 7</w:t>
      </w:r>
    </w:p>
    <w:p>
      <w:pPr>
        <w:pStyle w:val="0"/>
        <w:jc w:val="center"/>
      </w:pPr>
      <w:r>
        <w:rPr>
          <w:sz w:val="20"/>
        </w:rPr>
        <w:t xml:space="preserve">(в ред. </w:t>
      </w:r>
      <w:hyperlink w:history="0" r:id="rId116"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right"/>
      </w:pPr>
      <w:r>
        <w:rPr>
          <w:sz w:val="20"/>
        </w:rPr>
      </w:r>
    </w:p>
    <w:p>
      <w:pPr>
        <w:pStyle w:val="2"/>
        <w:outlineLvl w:val="4"/>
        <w:jc w:val="center"/>
      </w:pPr>
      <w:r>
        <w:rPr>
          <w:sz w:val="20"/>
        </w:rPr>
        <w:t xml:space="preserve">Планируемые объемы финансирования подпрограммы 3</w:t>
      </w:r>
    </w:p>
    <w:p>
      <w:pPr>
        <w:pStyle w:val="2"/>
        <w:jc w:val="center"/>
      </w:pPr>
      <w:r>
        <w:rPr>
          <w:sz w:val="20"/>
        </w:rPr>
        <w:t xml:space="preserve">на 1 этапе реализации</w:t>
      </w:r>
    </w:p>
    <w:p>
      <w:pPr>
        <w:pStyle w:val="0"/>
        <w:jc w:val="both"/>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94"/>
        <w:gridCol w:w="1134"/>
        <w:gridCol w:w="1249"/>
        <w:gridCol w:w="2284"/>
        <w:gridCol w:w="1531"/>
        <w:gridCol w:w="1219"/>
        <w:gridCol w:w="904"/>
      </w:tblGrid>
      <w:tr>
        <w:tc>
          <w:tcPr>
            <w:tcW w:w="694" w:type="dxa"/>
            <w:vMerge w:val="restart"/>
          </w:tcPr>
          <w:p>
            <w:pPr>
              <w:pStyle w:val="0"/>
              <w:jc w:val="center"/>
            </w:pPr>
            <w:r>
              <w:rPr>
                <w:sz w:val="20"/>
              </w:rPr>
              <w:t xml:space="preserve">Годы</w:t>
            </w:r>
          </w:p>
        </w:tc>
        <w:tc>
          <w:tcPr>
            <w:gridSpan w:val="6"/>
            <w:tcW w:w="8321" w:type="dxa"/>
          </w:tcPr>
          <w:p>
            <w:pPr>
              <w:pStyle w:val="0"/>
              <w:jc w:val="center"/>
            </w:pPr>
            <w:r>
              <w:rPr>
                <w:sz w:val="20"/>
              </w:rPr>
              <w:t xml:space="preserve">Источники финансирования</w:t>
            </w:r>
          </w:p>
        </w:tc>
      </w:tr>
      <w:tr>
        <w:tc>
          <w:tcPr>
            <w:vMerge w:val="continue"/>
          </w:tcPr>
          <w:p/>
        </w:tc>
        <w:tc>
          <w:tcPr>
            <w:tcW w:w="1134"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2284" w:type="dxa"/>
          </w:tcPr>
          <w:p>
            <w:pPr>
              <w:pStyle w:val="0"/>
              <w:jc w:val="center"/>
            </w:pPr>
            <w:r>
              <w:rPr>
                <w:sz w:val="20"/>
              </w:rPr>
              <w:t xml:space="preserve">Консолидированные бюджеты муниципальных образований</w:t>
            </w:r>
          </w:p>
        </w:tc>
        <w:tc>
          <w:tcPr>
            <w:tcW w:w="1531" w:type="dxa"/>
          </w:tcPr>
          <w:p>
            <w:pPr>
              <w:pStyle w:val="0"/>
              <w:jc w:val="center"/>
            </w:pPr>
            <w:r>
              <w:rPr>
                <w:sz w:val="20"/>
              </w:rPr>
              <w:t xml:space="preserve">Территориальные внебюджетные фонды</w:t>
            </w:r>
          </w:p>
        </w:tc>
        <w:tc>
          <w:tcPr>
            <w:tcW w:w="1219" w:type="dxa"/>
          </w:tcPr>
          <w:p>
            <w:pPr>
              <w:pStyle w:val="0"/>
              <w:jc w:val="center"/>
            </w:pPr>
            <w:r>
              <w:rPr>
                <w:sz w:val="20"/>
              </w:rPr>
              <w:t xml:space="preserve">Иные источники</w:t>
            </w:r>
          </w:p>
        </w:tc>
        <w:tc>
          <w:tcPr>
            <w:tcW w:w="904" w:type="dxa"/>
          </w:tcPr>
          <w:p>
            <w:pPr>
              <w:pStyle w:val="0"/>
              <w:jc w:val="center"/>
            </w:pPr>
            <w:r>
              <w:rPr>
                <w:sz w:val="20"/>
              </w:rPr>
              <w:t xml:space="preserve">Всего</w:t>
            </w:r>
          </w:p>
        </w:tc>
      </w:tr>
      <w:tr>
        <w:tc>
          <w:tcPr>
            <w:tcW w:w="694" w:type="dxa"/>
          </w:tcPr>
          <w:p>
            <w:pPr>
              <w:pStyle w:val="0"/>
              <w:jc w:val="center"/>
            </w:pPr>
            <w:r>
              <w:rPr>
                <w:sz w:val="20"/>
              </w:rPr>
              <w:t xml:space="preserve">2014</w:t>
            </w:r>
          </w:p>
        </w:tc>
        <w:tc>
          <w:tcPr>
            <w:tcW w:w="1134" w:type="dxa"/>
          </w:tcPr>
          <w:p>
            <w:pPr>
              <w:pStyle w:val="0"/>
            </w:pPr>
            <w:r>
              <w:rPr>
                <w:sz w:val="20"/>
              </w:rPr>
            </w:r>
          </w:p>
        </w:tc>
        <w:tc>
          <w:tcPr>
            <w:tcW w:w="1249" w:type="dxa"/>
          </w:tcPr>
          <w:p>
            <w:pPr>
              <w:pStyle w:val="0"/>
              <w:jc w:val="center"/>
            </w:pPr>
            <w:r>
              <w:rPr>
                <w:sz w:val="20"/>
              </w:rPr>
              <w:t xml:space="preserve">4994</w:t>
            </w:r>
          </w:p>
        </w:tc>
        <w:tc>
          <w:tcPr>
            <w:tcW w:w="2284" w:type="dxa"/>
          </w:tcPr>
          <w:p>
            <w:pPr>
              <w:pStyle w:val="0"/>
              <w:jc w:val="center"/>
            </w:pPr>
            <w:r>
              <w:rPr>
                <w:sz w:val="20"/>
              </w:rPr>
              <w:t xml:space="preserve">1963</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6957</w:t>
            </w:r>
          </w:p>
        </w:tc>
      </w:tr>
      <w:tr>
        <w:tc>
          <w:tcPr>
            <w:tcW w:w="694" w:type="dxa"/>
          </w:tcPr>
          <w:p>
            <w:pPr>
              <w:pStyle w:val="0"/>
              <w:jc w:val="center"/>
            </w:pPr>
            <w:r>
              <w:rPr>
                <w:sz w:val="20"/>
              </w:rPr>
              <w:t xml:space="preserve">2015</w:t>
            </w:r>
          </w:p>
        </w:tc>
        <w:tc>
          <w:tcPr>
            <w:tcW w:w="1134" w:type="dxa"/>
          </w:tcPr>
          <w:p>
            <w:pPr>
              <w:pStyle w:val="0"/>
            </w:pPr>
            <w:r>
              <w:rPr>
                <w:sz w:val="20"/>
              </w:rPr>
            </w:r>
          </w:p>
        </w:tc>
        <w:tc>
          <w:tcPr>
            <w:tcW w:w="1249" w:type="dxa"/>
          </w:tcPr>
          <w:p>
            <w:pPr>
              <w:pStyle w:val="0"/>
              <w:jc w:val="center"/>
            </w:pPr>
            <w:r>
              <w:rPr>
                <w:sz w:val="20"/>
              </w:rPr>
              <w:t xml:space="preserve">4298</w:t>
            </w:r>
          </w:p>
        </w:tc>
        <w:tc>
          <w:tcPr>
            <w:tcW w:w="2284" w:type="dxa"/>
          </w:tcPr>
          <w:p>
            <w:pPr>
              <w:pStyle w:val="0"/>
              <w:jc w:val="center"/>
            </w:pPr>
            <w:r>
              <w:rPr>
                <w:sz w:val="20"/>
              </w:rPr>
              <w:t xml:space="preserve">1544</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5842</w:t>
            </w:r>
          </w:p>
        </w:tc>
      </w:tr>
      <w:tr>
        <w:tc>
          <w:tcPr>
            <w:tcW w:w="694" w:type="dxa"/>
          </w:tcPr>
          <w:p>
            <w:pPr>
              <w:pStyle w:val="0"/>
              <w:jc w:val="center"/>
            </w:pPr>
            <w:r>
              <w:rPr>
                <w:sz w:val="20"/>
              </w:rPr>
              <w:t xml:space="preserve">2016</w:t>
            </w:r>
          </w:p>
        </w:tc>
        <w:tc>
          <w:tcPr>
            <w:tcW w:w="1134" w:type="dxa"/>
          </w:tcPr>
          <w:p>
            <w:pPr>
              <w:pStyle w:val="0"/>
            </w:pPr>
            <w:r>
              <w:rPr>
                <w:sz w:val="20"/>
              </w:rPr>
            </w:r>
          </w:p>
        </w:tc>
        <w:tc>
          <w:tcPr>
            <w:tcW w:w="1249" w:type="dxa"/>
          </w:tcPr>
          <w:p>
            <w:pPr>
              <w:pStyle w:val="0"/>
              <w:jc w:val="center"/>
            </w:pPr>
            <w:r>
              <w:rPr>
                <w:sz w:val="20"/>
              </w:rPr>
              <w:t xml:space="preserve">3833</w:t>
            </w:r>
          </w:p>
        </w:tc>
        <w:tc>
          <w:tcPr>
            <w:tcW w:w="2284" w:type="dxa"/>
          </w:tcPr>
          <w:p>
            <w:pPr>
              <w:pStyle w:val="0"/>
              <w:jc w:val="center"/>
            </w:pPr>
            <w:r>
              <w:rPr>
                <w:sz w:val="20"/>
              </w:rPr>
              <w:t xml:space="preserve">1285</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5118</w:t>
            </w:r>
          </w:p>
        </w:tc>
      </w:tr>
      <w:tr>
        <w:tc>
          <w:tcPr>
            <w:tcW w:w="694" w:type="dxa"/>
          </w:tcPr>
          <w:p>
            <w:pPr>
              <w:pStyle w:val="0"/>
              <w:jc w:val="center"/>
            </w:pPr>
            <w:r>
              <w:rPr>
                <w:sz w:val="20"/>
              </w:rPr>
              <w:t xml:space="preserve">2017</w:t>
            </w:r>
          </w:p>
        </w:tc>
        <w:tc>
          <w:tcPr>
            <w:tcW w:w="1134" w:type="dxa"/>
          </w:tcPr>
          <w:p>
            <w:pPr>
              <w:pStyle w:val="0"/>
            </w:pPr>
            <w:r>
              <w:rPr>
                <w:sz w:val="20"/>
              </w:rPr>
            </w:r>
          </w:p>
        </w:tc>
        <w:tc>
          <w:tcPr>
            <w:tcW w:w="1249" w:type="dxa"/>
          </w:tcPr>
          <w:p>
            <w:pPr>
              <w:pStyle w:val="0"/>
              <w:jc w:val="center"/>
            </w:pPr>
            <w:r>
              <w:rPr>
                <w:sz w:val="20"/>
              </w:rPr>
              <w:t xml:space="preserve">3392</w:t>
            </w:r>
          </w:p>
        </w:tc>
        <w:tc>
          <w:tcPr>
            <w:tcW w:w="2284" w:type="dxa"/>
          </w:tcPr>
          <w:p>
            <w:pPr>
              <w:pStyle w:val="0"/>
              <w:jc w:val="center"/>
            </w:pPr>
            <w:r>
              <w:rPr>
                <w:sz w:val="20"/>
              </w:rPr>
              <w:t xml:space="preserve">1544</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4936</w:t>
            </w:r>
          </w:p>
        </w:tc>
      </w:tr>
      <w:tr>
        <w:tc>
          <w:tcPr>
            <w:tcW w:w="694" w:type="dxa"/>
          </w:tcPr>
          <w:p>
            <w:pPr>
              <w:pStyle w:val="0"/>
              <w:jc w:val="center"/>
            </w:pPr>
            <w:r>
              <w:rPr>
                <w:sz w:val="20"/>
              </w:rPr>
              <w:t xml:space="preserve">2018</w:t>
            </w:r>
          </w:p>
        </w:tc>
        <w:tc>
          <w:tcPr>
            <w:tcW w:w="1134" w:type="dxa"/>
          </w:tcPr>
          <w:p>
            <w:pPr>
              <w:pStyle w:val="0"/>
            </w:pPr>
            <w:r>
              <w:rPr>
                <w:sz w:val="20"/>
              </w:rPr>
            </w:r>
          </w:p>
        </w:tc>
        <w:tc>
          <w:tcPr>
            <w:tcW w:w="1249" w:type="dxa"/>
          </w:tcPr>
          <w:p>
            <w:pPr>
              <w:pStyle w:val="0"/>
              <w:jc w:val="center"/>
            </w:pPr>
            <w:r>
              <w:rPr>
                <w:sz w:val="20"/>
              </w:rPr>
              <w:t xml:space="preserve">21091</w:t>
            </w:r>
          </w:p>
        </w:tc>
        <w:tc>
          <w:tcPr>
            <w:tcW w:w="2284" w:type="dxa"/>
          </w:tcPr>
          <w:p>
            <w:pPr>
              <w:pStyle w:val="0"/>
              <w:jc w:val="center"/>
            </w:pPr>
            <w:r>
              <w:rPr>
                <w:sz w:val="20"/>
              </w:rPr>
              <w:t xml:space="preserve">2609,6</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23700,6</w:t>
            </w:r>
          </w:p>
        </w:tc>
      </w:tr>
      <w:tr>
        <w:tc>
          <w:tcPr>
            <w:tcW w:w="694" w:type="dxa"/>
          </w:tcPr>
          <w:p>
            <w:pPr>
              <w:pStyle w:val="0"/>
              <w:jc w:val="center"/>
            </w:pPr>
            <w:r>
              <w:rPr>
                <w:sz w:val="20"/>
              </w:rPr>
              <w:t xml:space="preserve">2019</w:t>
            </w:r>
          </w:p>
        </w:tc>
        <w:tc>
          <w:tcPr>
            <w:tcW w:w="1134" w:type="dxa"/>
          </w:tcPr>
          <w:p>
            <w:pPr>
              <w:pStyle w:val="0"/>
            </w:pPr>
            <w:r>
              <w:rPr>
                <w:sz w:val="20"/>
              </w:rPr>
            </w:r>
          </w:p>
        </w:tc>
        <w:tc>
          <w:tcPr>
            <w:tcW w:w="1249" w:type="dxa"/>
          </w:tcPr>
          <w:p>
            <w:pPr>
              <w:pStyle w:val="0"/>
              <w:jc w:val="center"/>
            </w:pPr>
            <w:r>
              <w:rPr>
                <w:sz w:val="20"/>
              </w:rPr>
              <w:t xml:space="preserve">13227,0</w:t>
            </w:r>
          </w:p>
        </w:tc>
        <w:tc>
          <w:tcPr>
            <w:tcW w:w="2284" w:type="dxa"/>
          </w:tcPr>
          <w:p>
            <w:pPr>
              <w:pStyle w:val="0"/>
              <w:jc w:val="center"/>
            </w:pPr>
            <w:r>
              <w:rPr>
                <w:sz w:val="20"/>
              </w:rPr>
              <w:t xml:space="preserve">2120,0</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15347,0</w:t>
            </w:r>
          </w:p>
        </w:tc>
      </w:tr>
      <w:tr>
        <w:tc>
          <w:tcPr>
            <w:tcW w:w="694" w:type="dxa"/>
          </w:tcPr>
          <w:p>
            <w:pPr>
              <w:pStyle w:val="0"/>
              <w:jc w:val="center"/>
            </w:pPr>
            <w:r>
              <w:rPr>
                <w:sz w:val="20"/>
              </w:rPr>
              <w:t xml:space="preserve">2020</w:t>
            </w:r>
          </w:p>
        </w:tc>
        <w:tc>
          <w:tcPr>
            <w:tcW w:w="1134" w:type="dxa"/>
          </w:tcPr>
          <w:p>
            <w:pPr>
              <w:pStyle w:val="0"/>
            </w:pPr>
            <w:r>
              <w:rPr>
                <w:sz w:val="20"/>
              </w:rPr>
            </w:r>
          </w:p>
        </w:tc>
        <w:tc>
          <w:tcPr>
            <w:tcW w:w="1249" w:type="dxa"/>
          </w:tcPr>
          <w:p>
            <w:pPr>
              <w:pStyle w:val="0"/>
              <w:jc w:val="center"/>
            </w:pPr>
            <w:r>
              <w:rPr>
                <w:sz w:val="20"/>
              </w:rPr>
              <w:t xml:space="preserve">3988,1</w:t>
            </w:r>
          </w:p>
        </w:tc>
        <w:tc>
          <w:tcPr>
            <w:tcW w:w="2284" w:type="dxa"/>
          </w:tcPr>
          <w:p>
            <w:pPr>
              <w:pStyle w:val="0"/>
              <w:jc w:val="center"/>
            </w:pPr>
            <w:r>
              <w:rPr>
                <w:sz w:val="20"/>
              </w:rPr>
              <w:t xml:space="preserve">1548,0</w:t>
            </w:r>
          </w:p>
        </w:tc>
        <w:tc>
          <w:tcPr>
            <w:tcW w:w="1531" w:type="dxa"/>
          </w:tcPr>
          <w:p>
            <w:pPr>
              <w:pStyle w:val="0"/>
            </w:pPr>
            <w:r>
              <w:rPr>
                <w:sz w:val="20"/>
              </w:rPr>
            </w:r>
          </w:p>
        </w:tc>
        <w:tc>
          <w:tcPr>
            <w:tcW w:w="1219" w:type="dxa"/>
          </w:tcPr>
          <w:p>
            <w:pPr>
              <w:pStyle w:val="0"/>
            </w:pPr>
            <w:r>
              <w:rPr>
                <w:sz w:val="20"/>
              </w:rPr>
            </w:r>
          </w:p>
        </w:tc>
        <w:tc>
          <w:tcPr>
            <w:tcW w:w="904" w:type="dxa"/>
          </w:tcPr>
          <w:p>
            <w:pPr>
              <w:pStyle w:val="0"/>
              <w:jc w:val="center"/>
            </w:pPr>
            <w:r>
              <w:rPr>
                <w:sz w:val="20"/>
              </w:rPr>
              <w:t xml:space="preserve">5536,1</w:t>
            </w:r>
          </w:p>
        </w:tc>
      </w:tr>
      <w:tr>
        <w:tc>
          <w:tcPr>
            <w:tcW w:w="694" w:type="dxa"/>
          </w:tcPr>
          <w:p>
            <w:pPr>
              <w:pStyle w:val="0"/>
              <w:jc w:val="center"/>
            </w:pPr>
            <w:r>
              <w:rPr>
                <w:sz w:val="20"/>
              </w:rPr>
              <w:t xml:space="preserve">Всего</w:t>
            </w:r>
          </w:p>
        </w:tc>
        <w:tc>
          <w:tcPr>
            <w:tcW w:w="1134" w:type="dxa"/>
          </w:tcPr>
          <w:p>
            <w:pPr>
              <w:pStyle w:val="0"/>
            </w:pPr>
            <w:r>
              <w:rPr>
                <w:sz w:val="20"/>
              </w:rPr>
            </w:r>
          </w:p>
        </w:tc>
        <w:tc>
          <w:tcPr>
            <w:tcW w:w="1249" w:type="dxa"/>
            <w:vAlign w:val="bottom"/>
          </w:tcPr>
          <w:p>
            <w:pPr>
              <w:pStyle w:val="0"/>
              <w:jc w:val="center"/>
            </w:pPr>
            <w:r>
              <w:rPr>
                <w:sz w:val="20"/>
              </w:rPr>
              <w:t xml:space="preserve">54823,1</w:t>
            </w:r>
          </w:p>
        </w:tc>
        <w:tc>
          <w:tcPr>
            <w:tcW w:w="2284" w:type="dxa"/>
            <w:vAlign w:val="bottom"/>
          </w:tcPr>
          <w:p>
            <w:pPr>
              <w:pStyle w:val="0"/>
              <w:jc w:val="center"/>
            </w:pPr>
            <w:r>
              <w:rPr>
                <w:sz w:val="20"/>
              </w:rPr>
              <w:t xml:space="preserve">12613,6</w:t>
            </w:r>
          </w:p>
        </w:tc>
        <w:tc>
          <w:tcPr>
            <w:tcW w:w="1531" w:type="dxa"/>
            <w:vAlign w:val="bottom"/>
          </w:tcPr>
          <w:p>
            <w:pPr>
              <w:pStyle w:val="0"/>
              <w:jc w:val="center"/>
            </w:pPr>
            <w:r>
              <w:rPr>
                <w:sz w:val="20"/>
              </w:rPr>
            </w:r>
          </w:p>
        </w:tc>
        <w:tc>
          <w:tcPr>
            <w:tcW w:w="1219" w:type="dxa"/>
            <w:vAlign w:val="bottom"/>
          </w:tcPr>
          <w:p>
            <w:pPr>
              <w:pStyle w:val="0"/>
              <w:jc w:val="center"/>
            </w:pPr>
            <w:r>
              <w:rPr>
                <w:sz w:val="20"/>
              </w:rPr>
            </w:r>
          </w:p>
        </w:tc>
        <w:tc>
          <w:tcPr>
            <w:tcW w:w="904" w:type="dxa"/>
            <w:vAlign w:val="bottom"/>
          </w:tcPr>
          <w:p>
            <w:pPr>
              <w:pStyle w:val="0"/>
              <w:jc w:val="center"/>
            </w:pPr>
            <w:r>
              <w:rPr>
                <w:sz w:val="20"/>
              </w:rPr>
              <w:t xml:space="preserve">67436,7</w:t>
            </w:r>
          </w:p>
        </w:tc>
      </w:tr>
    </w:tbl>
    <w:p>
      <w:pPr>
        <w:pStyle w:val="0"/>
        <w:jc w:val="center"/>
      </w:pPr>
      <w:r>
        <w:rPr>
          <w:sz w:val="20"/>
        </w:rPr>
      </w:r>
    </w:p>
    <w:p>
      <w:pPr>
        <w:pStyle w:val="2"/>
        <w:outlineLvl w:val="4"/>
        <w:jc w:val="center"/>
      </w:pPr>
      <w:r>
        <w:rPr>
          <w:sz w:val="20"/>
        </w:rPr>
        <w:t xml:space="preserve">Планируемые объемы финансирования подпрограммы 3</w:t>
      </w:r>
    </w:p>
    <w:p>
      <w:pPr>
        <w:pStyle w:val="2"/>
        <w:jc w:val="center"/>
      </w:pPr>
      <w:r>
        <w:rPr>
          <w:sz w:val="20"/>
        </w:rPr>
        <w:t xml:space="preserve">на 2 этапе реализации</w:t>
      </w:r>
    </w:p>
    <w:p>
      <w:pPr>
        <w:pStyle w:val="0"/>
        <w:jc w:val="both"/>
      </w:pPr>
      <w:r>
        <w:rPr>
          <w:sz w:val="20"/>
        </w:rPr>
      </w:r>
    </w:p>
    <w:p>
      <w:pPr>
        <w:pStyle w:val="0"/>
        <w:jc w:val="right"/>
      </w:pPr>
      <w:r>
        <w:rPr>
          <w:sz w:val="20"/>
        </w:rPr>
        <w:t xml:space="preserve">тыс. рублей</w:t>
      </w:r>
    </w:p>
    <w:p>
      <w:pPr>
        <w:spacing w:before="0"/>
        <w:spacing w:after="1"/>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4"/>
        <w:gridCol w:w="1077"/>
        <w:gridCol w:w="1249"/>
        <w:gridCol w:w="1928"/>
        <w:gridCol w:w="1474"/>
        <w:gridCol w:w="1077"/>
        <w:gridCol w:w="1144"/>
      </w:tblGrid>
      <w:tr>
        <w:tc>
          <w:tcPr>
            <w:tcW w:w="1084" w:type="dxa"/>
            <w:vMerge w:val="restart"/>
          </w:tcPr>
          <w:p>
            <w:pPr>
              <w:pStyle w:val="0"/>
              <w:jc w:val="center"/>
            </w:pPr>
            <w:r>
              <w:rPr>
                <w:sz w:val="20"/>
              </w:rPr>
              <w:t xml:space="preserve">Годы</w:t>
            </w:r>
          </w:p>
        </w:tc>
        <w:tc>
          <w:tcPr>
            <w:gridSpan w:val="6"/>
            <w:tcW w:w="7949" w:type="dxa"/>
          </w:tcPr>
          <w:p>
            <w:pPr>
              <w:pStyle w:val="0"/>
              <w:jc w:val="center"/>
            </w:pPr>
            <w:r>
              <w:rPr>
                <w:sz w:val="20"/>
              </w:rPr>
              <w:t xml:space="preserve">Источники финансирования</w:t>
            </w:r>
          </w:p>
        </w:tc>
      </w:tr>
      <w:tr>
        <w:tc>
          <w:tcPr>
            <w:vMerge w:val="continue"/>
          </w:tcPr>
          <w:p/>
        </w:tc>
        <w:tc>
          <w:tcPr>
            <w:tcW w:w="1077"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1928" w:type="dxa"/>
          </w:tcPr>
          <w:p>
            <w:pPr>
              <w:pStyle w:val="0"/>
              <w:jc w:val="center"/>
            </w:pPr>
            <w:r>
              <w:rPr>
                <w:sz w:val="20"/>
              </w:rPr>
              <w:t xml:space="preserve">Консолидированные бюджеты муниципальных образований</w:t>
            </w:r>
          </w:p>
        </w:tc>
        <w:tc>
          <w:tcPr>
            <w:tcW w:w="1474" w:type="dxa"/>
          </w:tcPr>
          <w:p>
            <w:pPr>
              <w:pStyle w:val="0"/>
              <w:jc w:val="center"/>
            </w:pPr>
            <w:r>
              <w:rPr>
                <w:sz w:val="20"/>
              </w:rPr>
              <w:t xml:space="preserve">Территориальные внебюджетные фонды</w:t>
            </w:r>
          </w:p>
        </w:tc>
        <w:tc>
          <w:tcPr>
            <w:tcW w:w="1077" w:type="dxa"/>
          </w:tcPr>
          <w:p>
            <w:pPr>
              <w:pStyle w:val="0"/>
              <w:jc w:val="center"/>
            </w:pPr>
            <w:r>
              <w:rPr>
                <w:sz w:val="20"/>
              </w:rPr>
              <w:t xml:space="preserve">Иные источники</w:t>
            </w:r>
          </w:p>
        </w:tc>
        <w:tc>
          <w:tcPr>
            <w:tcW w:w="1144" w:type="dxa"/>
          </w:tcPr>
          <w:p>
            <w:pPr>
              <w:pStyle w:val="0"/>
              <w:jc w:val="center"/>
            </w:pPr>
            <w:r>
              <w:rPr>
                <w:sz w:val="20"/>
              </w:rPr>
              <w:t xml:space="preserve">Всего</w:t>
            </w:r>
          </w:p>
        </w:tc>
      </w:tr>
      <w:tr>
        <w:tc>
          <w:tcPr>
            <w:tcW w:w="1084" w:type="dxa"/>
          </w:tcPr>
          <w:p>
            <w:pPr>
              <w:pStyle w:val="0"/>
              <w:jc w:val="center"/>
            </w:pPr>
            <w:r>
              <w:rPr>
                <w:sz w:val="20"/>
              </w:rPr>
              <w:t xml:space="preserve">2021</w:t>
            </w:r>
          </w:p>
        </w:tc>
        <w:tc>
          <w:tcPr>
            <w:tcW w:w="1077" w:type="dxa"/>
          </w:tcPr>
          <w:p>
            <w:pPr>
              <w:pStyle w:val="0"/>
              <w:jc w:val="center"/>
            </w:pPr>
            <w:r>
              <w:rPr>
                <w:sz w:val="20"/>
              </w:rPr>
              <w:t xml:space="preserve">0</w:t>
            </w:r>
          </w:p>
        </w:tc>
        <w:tc>
          <w:tcPr>
            <w:tcW w:w="1249" w:type="dxa"/>
          </w:tcPr>
          <w:p>
            <w:pPr>
              <w:pStyle w:val="0"/>
              <w:jc w:val="center"/>
            </w:pPr>
            <w:r>
              <w:rPr>
                <w:sz w:val="20"/>
              </w:rPr>
              <w:t xml:space="preserve">6345,6</w:t>
            </w:r>
          </w:p>
        </w:tc>
        <w:tc>
          <w:tcPr>
            <w:tcW w:w="1928" w:type="dxa"/>
          </w:tcPr>
          <w:p>
            <w:pPr>
              <w:pStyle w:val="0"/>
              <w:jc w:val="center"/>
            </w:pPr>
            <w:r>
              <w:rPr>
                <w:sz w:val="20"/>
              </w:rPr>
              <w:t xml:space="preserve">945,3</w:t>
            </w:r>
          </w:p>
        </w:tc>
        <w:tc>
          <w:tcPr>
            <w:tcW w:w="1474" w:type="dxa"/>
          </w:tcPr>
          <w:p>
            <w:pPr>
              <w:pStyle w:val="0"/>
              <w:jc w:val="center"/>
            </w:pPr>
            <w:r>
              <w:rPr>
                <w:sz w:val="20"/>
              </w:rPr>
              <w:t xml:space="preserve">0</w:t>
            </w:r>
          </w:p>
        </w:tc>
        <w:tc>
          <w:tcPr>
            <w:tcW w:w="1077" w:type="dxa"/>
          </w:tcPr>
          <w:p>
            <w:pPr>
              <w:pStyle w:val="0"/>
              <w:jc w:val="center"/>
            </w:pPr>
            <w:r>
              <w:rPr>
                <w:sz w:val="20"/>
              </w:rPr>
              <w:t xml:space="preserve">0</w:t>
            </w:r>
          </w:p>
        </w:tc>
        <w:tc>
          <w:tcPr>
            <w:tcW w:w="1144" w:type="dxa"/>
          </w:tcPr>
          <w:p>
            <w:pPr>
              <w:pStyle w:val="0"/>
              <w:jc w:val="center"/>
            </w:pPr>
            <w:r>
              <w:rPr>
                <w:sz w:val="20"/>
              </w:rPr>
              <w:t xml:space="preserve">7290,9</w:t>
            </w:r>
          </w:p>
        </w:tc>
      </w:tr>
      <w:tr>
        <w:tc>
          <w:tcPr>
            <w:tcW w:w="1084" w:type="dxa"/>
          </w:tcPr>
          <w:p>
            <w:pPr>
              <w:pStyle w:val="0"/>
              <w:jc w:val="center"/>
            </w:pPr>
            <w:r>
              <w:rPr>
                <w:sz w:val="20"/>
              </w:rPr>
              <w:t xml:space="preserve">2022</w:t>
            </w:r>
          </w:p>
        </w:tc>
        <w:tc>
          <w:tcPr>
            <w:tcW w:w="1077" w:type="dxa"/>
          </w:tcPr>
          <w:p>
            <w:pPr>
              <w:pStyle w:val="0"/>
              <w:jc w:val="center"/>
            </w:pPr>
            <w:r>
              <w:rPr>
                <w:sz w:val="20"/>
              </w:rPr>
              <w:t xml:space="preserve">0</w:t>
            </w:r>
          </w:p>
        </w:tc>
        <w:tc>
          <w:tcPr>
            <w:tcW w:w="1249" w:type="dxa"/>
          </w:tcPr>
          <w:p>
            <w:pPr>
              <w:pStyle w:val="0"/>
              <w:jc w:val="center"/>
            </w:pPr>
            <w:r>
              <w:rPr>
                <w:sz w:val="20"/>
              </w:rPr>
              <w:t xml:space="preserve">89727,6</w:t>
            </w:r>
          </w:p>
        </w:tc>
        <w:tc>
          <w:tcPr>
            <w:tcW w:w="1928" w:type="dxa"/>
          </w:tcPr>
          <w:p>
            <w:pPr>
              <w:pStyle w:val="0"/>
              <w:jc w:val="center"/>
            </w:pPr>
            <w:r>
              <w:rPr>
                <w:sz w:val="20"/>
              </w:rPr>
              <w:t xml:space="preserve">397,5</w:t>
            </w:r>
          </w:p>
        </w:tc>
        <w:tc>
          <w:tcPr>
            <w:tcW w:w="1474" w:type="dxa"/>
          </w:tcPr>
          <w:p>
            <w:pPr>
              <w:pStyle w:val="0"/>
              <w:jc w:val="center"/>
            </w:pPr>
            <w:r>
              <w:rPr>
                <w:sz w:val="20"/>
              </w:rPr>
              <w:t xml:space="preserve">0</w:t>
            </w:r>
          </w:p>
        </w:tc>
        <w:tc>
          <w:tcPr>
            <w:tcW w:w="1077" w:type="dxa"/>
          </w:tcPr>
          <w:p>
            <w:pPr>
              <w:pStyle w:val="0"/>
              <w:jc w:val="center"/>
            </w:pPr>
            <w:r>
              <w:rPr>
                <w:sz w:val="20"/>
              </w:rPr>
              <w:t xml:space="preserve">0</w:t>
            </w:r>
          </w:p>
        </w:tc>
        <w:tc>
          <w:tcPr>
            <w:tcW w:w="1144" w:type="dxa"/>
          </w:tcPr>
          <w:p>
            <w:pPr>
              <w:pStyle w:val="0"/>
              <w:jc w:val="center"/>
            </w:pPr>
            <w:r>
              <w:rPr>
                <w:sz w:val="20"/>
              </w:rPr>
              <w:t xml:space="preserve">90125,1</w:t>
            </w:r>
          </w:p>
        </w:tc>
      </w:tr>
      <w:tr>
        <w:tc>
          <w:tcPr>
            <w:tcW w:w="1084" w:type="dxa"/>
          </w:tcPr>
          <w:p>
            <w:pPr>
              <w:pStyle w:val="0"/>
              <w:jc w:val="center"/>
            </w:pPr>
            <w:r>
              <w:rPr>
                <w:sz w:val="20"/>
              </w:rPr>
              <w:t xml:space="preserve">2023</w:t>
            </w:r>
          </w:p>
          <w:p>
            <w:pPr>
              <w:pStyle w:val="0"/>
              <w:jc w:val="center"/>
            </w:pPr>
            <w:r>
              <w:rPr>
                <w:sz w:val="20"/>
              </w:rPr>
              <w:t xml:space="preserve">(прогноз)</w:t>
            </w:r>
          </w:p>
        </w:tc>
        <w:tc>
          <w:tcPr>
            <w:tcW w:w="1077" w:type="dxa"/>
          </w:tcPr>
          <w:p>
            <w:pPr>
              <w:pStyle w:val="0"/>
              <w:jc w:val="center"/>
            </w:pPr>
            <w:r>
              <w:rPr>
                <w:sz w:val="20"/>
              </w:rPr>
              <w:t xml:space="preserve">0</w:t>
            </w:r>
          </w:p>
        </w:tc>
        <w:tc>
          <w:tcPr>
            <w:tcW w:w="1249" w:type="dxa"/>
          </w:tcPr>
          <w:p>
            <w:pPr>
              <w:pStyle w:val="0"/>
              <w:jc w:val="center"/>
            </w:pPr>
            <w:r>
              <w:rPr>
                <w:sz w:val="20"/>
              </w:rPr>
              <w:t xml:space="preserve">87249,6</w:t>
            </w:r>
          </w:p>
        </w:tc>
        <w:tc>
          <w:tcPr>
            <w:tcW w:w="1928" w:type="dxa"/>
          </w:tcPr>
          <w:p>
            <w:pPr>
              <w:pStyle w:val="0"/>
              <w:jc w:val="center"/>
            </w:pPr>
            <w:r>
              <w:rPr>
                <w:sz w:val="20"/>
              </w:rPr>
              <w:t xml:space="preserve">1544</w:t>
            </w:r>
          </w:p>
        </w:tc>
        <w:tc>
          <w:tcPr>
            <w:tcW w:w="1474" w:type="dxa"/>
          </w:tcPr>
          <w:p>
            <w:pPr>
              <w:pStyle w:val="0"/>
              <w:jc w:val="center"/>
            </w:pPr>
            <w:r>
              <w:rPr>
                <w:sz w:val="20"/>
              </w:rPr>
              <w:t xml:space="preserve">0</w:t>
            </w:r>
          </w:p>
        </w:tc>
        <w:tc>
          <w:tcPr>
            <w:tcW w:w="1077" w:type="dxa"/>
          </w:tcPr>
          <w:p>
            <w:pPr>
              <w:pStyle w:val="0"/>
              <w:jc w:val="center"/>
            </w:pPr>
            <w:r>
              <w:rPr>
                <w:sz w:val="20"/>
              </w:rPr>
              <w:t xml:space="preserve">0</w:t>
            </w:r>
          </w:p>
        </w:tc>
        <w:tc>
          <w:tcPr>
            <w:tcW w:w="1144" w:type="dxa"/>
          </w:tcPr>
          <w:p>
            <w:pPr>
              <w:pStyle w:val="0"/>
              <w:jc w:val="center"/>
            </w:pPr>
            <w:r>
              <w:rPr>
                <w:sz w:val="20"/>
              </w:rPr>
              <w:t xml:space="preserve">88793,6</w:t>
            </w:r>
          </w:p>
        </w:tc>
      </w:tr>
      <w:tr>
        <w:tc>
          <w:tcPr>
            <w:tcW w:w="1084" w:type="dxa"/>
          </w:tcPr>
          <w:p>
            <w:pPr>
              <w:pStyle w:val="0"/>
              <w:jc w:val="center"/>
            </w:pPr>
            <w:r>
              <w:rPr>
                <w:sz w:val="20"/>
              </w:rPr>
              <w:t xml:space="preserve">2024</w:t>
            </w:r>
          </w:p>
          <w:p>
            <w:pPr>
              <w:pStyle w:val="0"/>
              <w:jc w:val="center"/>
            </w:pPr>
            <w:r>
              <w:rPr>
                <w:sz w:val="20"/>
              </w:rPr>
              <w:t xml:space="preserve">(прогноз)</w:t>
            </w:r>
          </w:p>
        </w:tc>
        <w:tc>
          <w:tcPr>
            <w:tcW w:w="1077" w:type="dxa"/>
          </w:tcPr>
          <w:p>
            <w:pPr>
              <w:pStyle w:val="0"/>
              <w:jc w:val="center"/>
            </w:pPr>
            <w:r>
              <w:rPr>
                <w:sz w:val="20"/>
              </w:rPr>
              <w:t xml:space="preserve">0</w:t>
            </w:r>
          </w:p>
        </w:tc>
        <w:tc>
          <w:tcPr>
            <w:tcW w:w="1249" w:type="dxa"/>
          </w:tcPr>
          <w:p>
            <w:pPr>
              <w:pStyle w:val="0"/>
              <w:jc w:val="center"/>
            </w:pPr>
            <w:r>
              <w:rPr>
                <w:sz w:val="20"/>
              </w:rPr>
              <w:t xml:space="preserve">62178,5</w:t>
            </w:r>
          </w:p>
        </w:tc>
        <w:tc>
          <w:tcPr>
            <w:tcW w:w="1928" w:type="dxa"/>
          </w:tcPr>
          <w:p>
            <w:pPr>
              <w:pStyle w:val="0"/>
              <w:jc w:val="center"/>
            </w:pPr>
            <w:r>
              <w:rPr>
                <w:sz w:val="20"/>
              </w:rPr>
              <w:t xml:space="preserve">1544</w:t>
            </w:r>
          </w:p>
        </w:tc>
        <w:tc>
          <w:tcPr>
            <w:tcW w:w="1474" w:type="dxa"/>
          </w:tcPr>
          <w:p>
            <w:pPr>
              <w:pStyle w:val="0"/>
              <w:jc w:val="center"/>
            </w:pPr>
            <w:r>
              <w:rPr>
                <w:sz w:val="20"/>
              </w:rPr>
              <w:t xml:space="preserve">0</w:t>
            </w:r>
          </w:p>
        </w:tc>
        <w:tc>
          <w:tcPr>
            <w:tcW w:w="1077" w:type="dxa"/>
          </w:tcPr>
          <w:p>
            <w:pPr>
              <w:pStyle w:val="0"/>
              <w:jc w:val="center"/>
            </w:pPr>
            <w:r>
              <w:rPr>
                <w:sz w:val="20"/>
              </w:rPr>
              <w:t xml:space="preserve">0</w:t>
            </w:r>
          </w:p>
        </w:tc>
        <w:tc>
          <w:tcPr>
            <w:tcW w:w="1144" w:type="dxa"/>
          </w:tcPr>
          <w:p>
            <w:pPr>
              <w:pStyle w:val="0"/>
              <w:jc w:val="center"/>
            </w:pPr>
            <w:r>
              <w:rPr>
                <w:sz w:val="20"/>
              </w:rPr>
              <w:t xml:space="preserve">63722,5</w:t>
            </w:r>
          </w:p>
        </w:tc>
      </w:tr>
      <w:tr>
        <w:tc>
          <w:tcPr>
            <w:tcW w:w="1084" w:type="dxa"/>
          </w:tcPr>
          <w:p>
            <w:pPr>
              <w:pStyle w:val="0"/>
              <w:jc w:val="center"/>
            </w:pPr>
            <w:r>
              <w:rPr>
                <w:sz w:val="20"/>
              </w:rPr>
              <w:t xml:space="preserve">2025</w:t>
            </w:r>
          </w:p>
          <w:p>
            <w:pPr>
              <w:pStyle w:val="0"/>
              <w:jc w:val="center"/>
            </w:pPr>
            <w:r>
              <w:rPr>
                <w:sz w:val="20"/>
              </w:rPr>
              <w:t xml:space="preserve">(прогноз)</w:t>
            </w:r>
          </w:p>
        </w:tc>
        <w:tc>
          <w:tcPr>
            <w:tcW w:w="1077" w:type="dxa"/>
          </w:tcPr>
          <w:p>
            <w:pPr>
              <w:pStyle w:val="0"/>
              <w:jc w:val="center"/>
            </w:pPr>
            <w:r>
              <w:rPr>
                <w:sz w:val="20"/>
              </w:rPr>
              <w:t xml:space="preserve">0</w:t>
            </w:r>
          </w:p>
        </w:tc>
        <w:tc>
          <w:tcPr>
            <w:tcW w:w="1249" w:type="dxa"/>
          </w:tcPr>
          <w:p>
            <w:pPr>
              <w:pStyle w:val="0"/>
              <w:jc w:val="center"/>
            </w:pPr>
            <w:r>
              <w:rPr>
                <w:sz w:val="20"/>
              </w:rPr>
              <w:t xml:space="preserve">59678,5</w:t>
            </w:r>
          </w:p>
        </w:tc>
        <w:tc>
          <w:tcPr>
            <w:tcW w:w="1928" w:type="dxa"/>
          </w:tcPr>
          <w:p>
            <w:pPr>
              <w:pStyle w:val="0"/>
              <w:jc w:val="center"/>
            </w:pPr>
            <w:r>
              <w:rPr>
                <w:sz w:val="20"/>
              </w:rPr>
              <w:t xml:space="preserve">1544</w:t>
            </w:r>
          </w:p>
        </w:tc>
        <w:tc>
          <w:tcPr>
            <w:tcW w:w="1474" w:type="dxa"/>
          </w:tcPr>
          <w:p>
            <w:pPr>
              <w:pStyle w:val="0"/>
              <w:jc w:val="center"/>
            </w:pPr>
            <w:r>
              <w:rPr>
                <w:sz w:val="20"/>
              </w:rPr>
              <w:t xml:space="preserve">0</w:t>
            </w:r>
          </w:p>
        </w:tc>
        <w:tc>
          <w:tcPr>
            <w:tcW w:w="1077" w:type="dxa"/>
          </w:tcPr>
          <w:p>
            <w:pPr>
              <w:pStyle w:val="0"/>
              <w:jc w:val="center"/>
            </w:pPr>
            <w:r>
              <w:rPr>
                <w:sz w:val="20"/>
              </w:rPr>
              <w:t xml:space="preserve">0</w:t>
            </w:r>
          </w:p>
        </w:tc>
        <w:tc>
          <w:tcPr>
            <w:tcW w:w="1144" w:type="dxa"/>
          </w:tcPr>
          <w:p>
            <w:pPr>
              <w:pStyle w:val="0"/>
              <w:jc w:val="center"/>
            </w:pPr>
            <w:r>
              <w:rPr>
                <w:sz w:val="20"/>
              </w:rPr>
              <w:t xml:space="preserve">61222,5</w:t>
            </w:r>
          </w:p>
        </w:tc>
      </w:tr>
      <w:tr>
        <w:tc>
          <w:tcPr>
            <w:tcW w:w="1084" w:type="dxa"/>
          </w:tcPr>
          <w:p>
            <w:pPr>
              <w:pStyle w:val="0"/>
              <w:jc w:val="center"/>
            </w:pPr>
            <w:r>
              <w:rPr>
                <w:sz w:val="20"/>
              </w:rPr>
              <w:t xml:space="preserve">Всего</w:t>
            </w:r>
          </w:p>
        </w:tc>
        <w:tc>
          <w:tcPr>
            <w:tcW w:w="1077" w:type="dxa"/>
          </w:tcPr>
          <w:p>
            <w:pPr>
              <w:pStyle w:val="0"/>
              <w:jc w:val="center"/>
            </w:pPr>
            <w:r>
              <w:rPr>
                <w:sz w:val="20"/>
              </w:rPr>
              <w:t xml:space="preserve">0</w:t>
            </w:r>
          </w:p>
        </w:tc>
        <w:tc>
          <w:tcPr>
            <w:tcW w:w="1249" w:type="dxa"/>
          </w:tcPr>
          <w:p>
            <w:pPr>
              <w:pStyle w:val="0"/>
              <w:jc w:val="center"/>
            </w:pPr>
            <w:r>
              <w:rPr>
                <w:sz w:val="20"/>
              </w:rPr>
              <w:t xml:space="preserve">305021,3</w:t>
            </w:r>
          </w:p>
        </w:tc>
        <w:tc>
          <w:tcPr>
            <w:tcW w:w="1928" w:type="dxa"/>
          </w:tcPr>
          <w:p>
            <w:pPr>
              <w:pStyle w:val="0"/>
              <w:jc w:val="center"/>
            </w:pPr>
            <w:r>
              <w:rPr>
                <w:sz w:val="20"/>
              </w:rPr>
              <w:t xml:space="preserve">5974,8</w:t>
            </w:r>
          </w:p>
        </w:tc>
        <w:tc>
          <w:tcPr>
            <w:tcW w:w="1474" w:type="dxa"/>
          </w:tcPr>
          <w:p>
            <w:pPr>
              <w:pStyle w:val="0"/>
              <w:jc w:val="center"/>
            </w:pPr>
            <w:r>
              <w:rPr>
                <w:sz w:val="20"/>
              </w:rPr>
              <w:t xml:space="preserve">0</w:t>
            </w:r>
          </w:p>
        </w:tc>
        <w:tc>
          <w:tcPr>
            <w:tcW w:w="1077" w:type="dxa"/>
          </w:tcPr>
          <w:p>
            <w:pPr>
              <w:pStyle w:val="0"/>
              <w:jc w:val="center"/>
            </w:pPr>
            <w:r>
              <w:rPr>
                <w:sz w:val="20"/>
              </w:rPr>
              <w:t xml:space="preserve">0</w:t>
            </w:r>
          </w:p>
        </w:tc>
        <w:tc>
          <w:tcPr>
            <w:tcW w:w="1144" w:type="dxa"/>
          </w:tcPr>
          <w:p>
            <w:pPr>
              <w:pStyle w:val="0"/>
              <w:jc w:val="center"/>
            </w:pPr>
            <w:r>
              <w:rPr>
                <w:sz w:val="20"/>
              </w:rPr>
              <w:t xml:space="preserve">310996,1</w:t>
            </w:r>
          </w:p>
        </w:tc>
      </w:tr>
    </w:tbl>
    <w:p>
      <w:pPr>
        <w:pStyle w:val="0"/>
        <w:jc w:val="both"/>
      </w:pPr>
      <w:r>
        <w:rPr>
          <w:sz w:val="20"/>
        </w:rPr>
      </w:r>
    </w:p>
    <w:p>
      <w:pPr>
        <w:pStyle w:val="0"/>
        <w:ind w:firstLine="540"/>
        <w:jc w:val="both"/>
      </w:pPr>
      <w:r>
        <w:rPr>
          <w:sz w:val="20"/>
        </w:rPr>
        <w:t xml:space="preserve">Ресурсное обеспечение и прогнозная (справочная) оценка расходов на реализацию мероприятий подпрограммы 3 из различных источников финансирования и ресурсное обеспечение реализации подпрограммы 3 государственной программы за счет средств бюджета Белгородской области по годам представлены соответственно в </w:t>
      </w:r>
      <w:hyperlink w:history="0" w:anchor="P4186" w:tooltip="Приложение N 3">
        <w:r>
          <w:rPr>
            <w:sz w:val="20"/>
            <w:color w:val="0000ff"/>
          </w:rPr>
          <w:t xml:space="preserve">приложениях N 3</w:t>
        </w:r>
      </w:hyperlink>
      <w:r>
        <w:rPr>
          <w:sz w:val="20"/>
        </w:rPr>
        <w:t xml:space="preserve"> и </w:t>
      </w:r>
      <w:hyperlink w:history="0" w:anchor="P7853"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 и плановый период.</w:t>
      </w:r>
    </w:p>
    <w:p>
      <w:pPr>
        <w:pStyle w:val="0"/>
        <w:jc w:val="both"/>
      </w:pPr>
      <w:r>
        <w:rPr>
          <w:sz w:val="20"/>
        </w:rPr>
      </w:r>
    </w:p>
    <w:bookmarkStart w:id="1447" w:name="P1447"/>
    <w:bookmarkEnd w:id="1447"/>
    <w:p>
      <w:pPr>
        <w:pStyle w:val="2"/>
        <w:outlineLvl w:val="1"/>
        <w:jc w:val="center"/>
      </w:pPr>
      <w:r>
        <w:rPr>
          <w:sz w:val="20"/>
        </w:rPr>
        <w:t xml:space="preserve">Паспорт</w:t>
      </w:r>
    </w:p>
    <w:p>
      <w:pPr>
        <w:pStyle w:val="2"/>
        <w:jc w:val="center"/>
      </w:pPr>
      <w:r>
        <w:rPr>
          <w:sz w:val="20"/>
        </w:rPr>
        <w:t xml:space="preserve">подпрограммы 4 "Сохранение, воспроизводство</w:t>
      </w:r>
    </w:p>
    <w:p>
      <w:pPr>
        <w:pStyle w:val="2"/>
        <w:jc w:val="center"/>
      </w:pPr>
      <w:r>
        <w:rPr>
          <w:sz w:val="20"/>
        </w:rPr>
        <w:t xml:space="preserve">и использование животного мира"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подпрограммы: "Сохранение, воспроизводство и использование животного мира" (далее - подпрограмма 4)</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Соисполнитель</w:t>
            </w:r>
          </w:p>
        </w:tc>
        <w:tc>
          <w:tcPr>
            <w:tcW w:w="6236" w:type="dxa"/>
            <w:tcBorders>
              <w:bottom w:val="nil"/>
            </w:tcBorders>
          </w:tcPr>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17"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Участники подпрограммы 4</w:t>
            </w:r>
          </w:p>
        </w:tc>
        <w:tc>
          <w:tcPr>
            <w:tcW w:w="6236" w:type="dxa"/>
            <w:tcBorders>
              <w:bottom w:val="nil"/>
            </w:tcBorders>
          </w:tcPr>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1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c>
          <w:tcPr>
            <w:tcW w:w="454" w:type="dxa"/>
          </w:tcPr>
          <w:p>
            <w:pPr>
              <w:pStyle w:val="0"/>
              <w:jc w:val="center"/>
            </w:pPr>
            <w:r>
              <w:rPr>
                <w:sz w:val="20"/>
              </w:rPr>
              <w:t xml:space="preserve">3</w:t>
            </w:r>
          </w:p>
        </w:tc>
        <w:tc>
          <w:tcPr>
            <w:tcW w:w="2324" w:type="dxa"/>
          </w:tcPr>
          <w:p>
            <w:pPr>
              <w:pStyle w:val="0"/>
            </w:pPr>
            <w:r>
              <w:rPr>
                <w:sz w:val="20"/>
              </w:rPr>
              <w:t xml:space="preserve">Цель подпрограммы 4</w:t>
            </w:r>
          </w:p>
        </w:tc>
        <w:tc>
          <w:tcPr>
            <w:tcW w:w="6236" w:type="dxa"/>
          </w:tcPr>
          <w:p>
            <w:pPr>
              <w:pStyle w:val="0"/>
              <w:jc w:val="both"/>
            </w:pPr>
            <w:r>
              <w:rPr>
                <w:sz w:val="20"/>
              </w:rPr>
              <w:t xml:space="preserve">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tc>
      </w:tr>
      <w:tr>
        <w:tc>
          <w:tcPr>
            <w:tcW w:w="454" w:type="dxa"/>
          </w:tcPr>
          <w:p>
            <w:pPr>
              <w:pStyle w:val="0"/>
              <w:jc w:val="center"/>
            </w:pPr>
            <w:r>
              <w:rPr>
                <w:sz w:val="20"/>
              </w:rPr>
              <w:t xml:space="preserve">4</w:t>
            </w:r>
          </w:p>
        </w:tc>
        <w:tc>
          <w:tcPr>
            <w:tcW w:w="2324" w:type="dxa"/>
          </w:tcPr>
          <w:p>
            <w:pPr>
              <w:pStyle w:val="0"/>
            </w:pPr>
            <w:r>
              <w:rPr>
                <w:sz w:val="20"/>
              </w:rPr>
              <w:t xml:space="preserve">Задачи подпрограммы 4</w:t>
            </w:r>
          </w:p>
        </w:tc>
        <w:tc>
          <w:tcPr>
            <w:tcW w:w="6236" w:type="dxa"/>
          </w:tcPr>
          <w:p>
            <w:pPr>
              <w:pStyle w:val="0"/>
              <w:jc w:val="both"/>
            </w:pPr>
            <w:r>
              <w:rPr>
                <w:sz w:val="20"/>
              </w:rPr>
              <w:t xml:space="preserve">1. Развитие ресурсной базы охотничьего хозяйства до уровня, соответствующего экологической емкости территории области.</w:t>
            </w:r>
          </w:p>
          <w:p>
            <w:pPr>
              <w:pStyle w:val="0"/>
              <w:jc w:val="both"/>
            </w:pPr>
            <w:r>
              <w:rPr>
                <w:sz w:val="20"/>
              </w:rPr>
              <w:t xml:space="preserve">2. Развитие конкурентного охотничьего хозяйства, обеспечивающего удовлетворение потребностей населения области.</w:t>
            </w:r>
          </w:p>
          <w:p>
            <w:pPr>
              <w:pStyle w:val="0"/>
              <w:jc w:val="both"/>
            </w:pPr>
            <w:r>
              <w:rPr>
                <w:sz w:val="20"/>
              </w:rPr>
              <w:t xml:space="preserve">3.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w:t>
            </w:r>
          </w:p>
        </w:tc>
      </w:tr>
      <w:tr>
        <w:tc>
          <w:tcPr>
            <w:tcW w:w="454" w:type="dxa"/>
          </w:tcPr>
          <w:p>
            <w:pPr>
              <w:pStyle w:val="0"/>
              <w:jc w:val="center"/>
            </w:pPr>
            <w:r>
              <w:rPr>
                <w:sz w:val="20"/>
              </w:rPr>
              <w:t xml:space="preserve">5</w:t>
            </w:r>
          </w:p>
        </w:tc>
        <w:tc>
          <w:tcPr>
            <w:tcW w:w="2324" w:type="dxa"/>
          </w:tcPr>
          <w:p>
            <w:pPr>
              <w:pStyle w:val="0"/>
            </w:pPr>
            <w:r>
              <w:rPr>
                <w:sz w:val="20"/>
              </w:rPr>
              <w:t xml:space="preserve">Сроки и этапы реализации подпрограммы 4</w:t>
            </w:r>
          </w:p>
        </w:tc>
        <w:tc>
          <w:tcPr>
            <w:tcW w:w="6236" w:type="dxa"/>
          </w:tcPr>
          <w:p>
            <w:pPr>
              <w:pStyle w:val="0"/>
              <w:jc w:val="both"/>
            </w:pPr>
            <w:r>
              <w:rPr>
                <w:sz w:val="20"/>
              </w:rPr>
              <w:t xml:space="preserve">Реализация подпрограммы 4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Объем бюджетных ассигнований подпрограммы 4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236" w:type="dxa"/>
            <w:tcBorders>
              <w:bottom w:val="nil"/>
            </w:tcBorders>
          </w:tcPr>
          <w:p>
            <w:pPr>
              <w:pStyle w:val="0"/>
              <w:jc w:val="both"/>
            </w:pPr>
            <w:r>
              <w:rPr>
                <w:sz w:val="20"/>
              </w:rPr>
              <w:t xml:space="preserve">Общий объем бюджетных ассигнований программы 4 в 2014 - 2025 годах - 114273,0 тыс. рублей, в том числе:</w:t>
            </w:r>
          </w:p>
          <w:p>
            <w:pPr>
              <w:pStyle w:val="0"/>
              <w:jc w:val="both"/>
            </w:pPr>
            <w:r>
              <w:rPr>
                <w:sz w:val="20"/>
              </w:rPr>
              <w:t xml:space="preserve">за счет средств федерального бюджета - 113108,0 тыс. рублей;</w:t>
            </w:r>
          </w:p>
          <w:p>
            <w:pPr>
              <w:pStyle w:val="0"/>
              <w:jc w:val="both"/>
            </w:pPr>
            <w:r>
              <w:rPr>
                <w:sz w:val="20"/>
              </w:rPr>
              <w:t xml:space="preserve">за счет средств областного бюджета - 1165,0 тыс. рублей, в том числе по годам:</w:t>
            </w:r>
          </w:p>
          <w:p>
            <w:pPr>
              <w:pStyle w:val="0"/>
              <w:jc w:val="both"/>
            </w:pPr>
            <w:r>
              <w:rPr>
                <w:sz w:val="20"/>
              </w:rPr>
              <w:t xml:space="preserve">2014 год - 1165,0 тыс. рублей;</w:t>
            </w:r>
          </w:p>
          <w:p>
            <w:pPr>
              <w:pStyle w:val="0"/>
              <w:jc w:val="both"/>
            </w:pPr>
            <w:r>
              <w:rPr>
                <w:sz w:val="20"/>
              </w:rPr>
              <w:t xml:space="preserve">2015 год - 0 рублей;</w:t>
            </w:r>
          </w:p>
          <w:p>
            <w:pPr>
              <w:pStyle w:val="0"/>
              <w:jc w:val="both"/>
            </w:pPr>
            <w:r>
              <w:rPr>
                <w:sz w:val="20"/>
              </w:rPr>
              <w:t xml:space="preserve">2016 год - 0 рублей;</w:t>
            </w:r>
          </w:p>
          <w:p>
            <w:pPr>
              <w:pStyle w:val="0"/>
              <w:jc w:val="both"/>
            </w:pPr>
            <w:r>
              <w:rPr>
                <w:sz w:val="20"/>
              </w:rPr>
              <w:t xml:space="preserve">2017 год - 0 рублей;</w:t>
            </w:r>
          </w:p>
          <w:p>
            <w:pPr>
              <w:pStyle w:val="0"/>
              <w:jc w:val="both"/>
            </w:pPr>
            <w:r>
              <w:rPr>
                <w:sz w:val="20"/>
              </w:rPr>
              <w:t xml:space="preserve">2018 год - 0 рублей;</w:t>
            </w:r>
          </w:p>
          <w:p>
            <w:pPr>
              <w:pStyle w:val="0"/>
              <w:jc w:val="both"/>
            </w:pPr>
            <w:r>
              <w:rPr>
                <w:sz w:val="20"/>
              </w:rPr>
              <w:t xml:space="preserve">2019 год - 0 рублей;</w:t>
            </w:r>
          </w:p>
          <w:p>
            <w:pPr>
              <w:pStyle w:val="0"/>
              <w:jc w:val="both"/>
            </w:pPr>
            <w:r>
              <w:rPr>
                <w:sz w:val="20"/>
              </w:rPr>
              <w:t xml:space="preserve">2020 год - 0 рублей;</w:t>
            </w:r>
          </w:p>
          <w:p>
            <w:pPr>
              <w:pStyle w:val="0"/>
              <w:jc w:val="both"/>
            </w:pPr>
            <w:r>
              <w:rPr>
                <w:sz w:val="20"/>
              </w:rPr>
              <w:t xml:space="preserve">2021 год - 0 рублей;</w:t>
            </w:r>
          </w:p>
          <w:p>
            <w:pPr>
              <w:pStyle w:val="0"/>
              <w:jc w:val="both"/>
            </w:pPr>
            <w:r>
              <w:rPr>
                <w:sz w:val="20"/>
              </w:rPr>
              <w:t xml:space="preserve">2022 год - 0 рублей;</w:t>
            </w:r>
          </w:p>
          <w:p>
            <w:pPr>
              <w:pStyle w:val="0"/>
              <w:jc w:val="both"/>
            </w:pPr>
            <w:r>
              <w:rPr>
                <w:sz w:val="20"/>
              </w:rPr>
              <w:t xml:space="preserve">2023 год - 0 рублей;</w:t>
            </w:r>
          </w:p>
          <w:p>
            <w:pPr>
              <w:pStyle w:val="0"/>
              <w:jc w:val="both"/>
            </w:pPr>
            <w:r>
              <w:rPr>
                <w:sz w:val="20"/>
              </w:rPr>
              <w:t xml:space="preserve">2024 год - 0 рублей;</w:t>
            </w:r>
          </w:p>
          <w:p>
            <w:pPr>
              <w:pStyle w:val="0"/>
              <w:jc w:val="both"/>
            </w:pPr>
            <w:r>
              <w:rPr>
                <w:sz w:val="20"/>
              </w:rPr>
              <w:t xml:space="preserve">2025 год - 0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11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blPrEx>
          <w:tblBorders>
            <w:insideH w:val="nil"/>
          </w:tblBorders>
        </w:tblPrEx>
        <w:tc>
          <w:tcPr>
            <w:tcW w:w="454" w:type="dxa"/>
            <w:tcBorders>
              <w:bottom w:val="nil"/>
            </w:tcBorders>
          </w:tcPr>
          <w:p>
            <w:pPr>
              <w:pStyle w:val="0"/>
              <w:jc w:val="center"/>
            </w:pPr>
            <w:r>
              <w:rPr>
                <w:sz w:val="20"/>
              </w:rPr>
              <w:t xml:space="preserve">7</w:t>
            </w:r>
          </w:p>
        </w:tc>
        <w:tc>
          <w:tcPr>
            <w:tcW w:w="2324" w:type="dxa"/>
            <w:tcBorders>
              <w:bottom w:val="nil"/>
            </w:tcBorders>
          </w:tcPr>
          <w:p>
            <w:pPr>
              <w:pStyle w:val="0"/>
            </w:pPr>
            <w:r>
              <w:rPr>
                <w:sz w:val="20"/>
              </w:rPr>
              <w:t xml:space="preserve">Конечные результаты реализации подпрограммы 4</w:t>
            </w:r>
          </w:p>
        </w:tc>
        <w:tc>
          <w:tcPr>
            <w:tcW w:w="6236" w:type="dxa"/>
            <w:tcBorders>
              <w:bottom w:val="nil"/>
            </w:tcBorders>
          </w:tcPr>
          <w:p>
            <w:pPr>
              <w:pStyle w:val="0"/>
              <w:jc w:val="both"/>
            </w:pPr>
            <w:r>
              <w:rPr>
                <w:sz w:val="20"/>
              </w:rPr>
              <w:t xml:space="preserve">К 2025 году планируется:</w:t>
            </w:r>
          </w:p>
          <w:p>
            <w:pPr>
              <w:pStyle w:val="0"/>
              <w:jc w:val="both"/>
            </w:pPr>
            <w:r>
              <w:rPr>
                <w:sz w:val="20"/>
              </w:rPr>
              <w:t xml:space="preserve">Отношение фактической добычи косули европейской к установленным лимитам добычи до 80 процентов</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2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4,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Животный мир области - неотъемлемый элемент ее природной среды и биологического разнообразия, возобновляющийся природный ресурс, регулирующий и стабилизирующий компонент экосистем, всемерно охраняемый и рационально используемый. На территории области также обитают редкие и находящиеся под угрозой исчезновения виды диких животных.</w:t>
      </w:r>
    </w:p>
    <w:p>
      <w:pPr>
        <w:pStyle w:val="0"/>
        <w:spacing w:before="200" w:line-rule="auto"/>
        <w:ind w:firstLine="540"/>
        <w:jc w:val="both"/>
      </w:pPr>
      <w:r>
        <w:rPr>
          <w:sz w:val="20"/>
        </w:rPr>
        <w:t xml:space="preserve">Охрана животного мира и рациональное его использование является одной из естественных основ экологического благополучия, устойчивого социально-экономического развития и благосостояния жителей области.</w:t>
      </w:r>
    </w:p>
    <w:p>
      <w:pPr>
        <w:pStyle w:val="0"/>
        <w:spacing w:before="200" w:line-rule="auto"/>
        <w:ind w:firstLine="540"/>
        <w:jc w:val="both"/>
      </w:pPr>
      <w:r>
        <w:rPr>
          <w:sz w:val="20"/>
        </w:rPr>
        <w:t xml:space="preserve">Экономическая деятельность по использованию видов животного мира, отнесенных действующим законодательством к охотничьим ресурсам и постоянно или временно обитающих на территории области, имеет преимущественно рекреационный характер. Этой деятельностью на территории области на основании долгосрочных лицензий и охотхозяйственных соглашений занимаются 23 юридических лица - охотпользователя. На условиях полной или частичной занятости в охотничьем хозяйстве области работает 215 человек.</w:t>
      </w:r>
    </w:p>
    <w:p>
      <w:pPr>
        <w:pStyle w:val="0"/>
        <w:jc w:val="both"/>
      </w:pPr>
      <w:r>
        <w:rPr>
          <w:sz w:val="20"/>
        </w:rPr>
        <w:t xml:space="preserve">(в ред. </w:t>
      </w:r>
      <w:hyperlink w:history="0" r:id="rId121"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Фауна области, по оценкам специалистов, насчитывает около 12000 видов животных, из них 60 видов млекопитающих, 40 видов рыб, 20 видов земноводных и пресмыкающихся, 279 видов птиц, в том числе 152 - гнездящихся, и около 11600 видов беспозвоночных, среди которых особенно многочисленны насекомые. Около 10 процентов видов животных относятся к числу нуждающихся в особой охране 320 видов включены в Красную книгу Белгородской области.</w:t>
      </w:r>
    </w:p>
    <w:p>
      <w:pPr>
        <w:pStyle w:val="0"/>
        <w:spacing w:before="200" w:line-rule="auto"/>
        <w:ind w:firstLine="540"/>
        <w:jc w:val="both"/>
      </w:pPr>
      <w:r>
        <w:rPr>
          <w:sz w:val="20"/>
        </w:rPr>
        <w:t xml:space="preserve">Площадь среды обитания объектов животного мира - 2470,2 тыс. га.</w:t>
      </w:r>
    </w:p>
    <w:p>
      <w:pPr>
        <w:pStyle w:val="0"/>
        <w:jc w:val="both"/>
      </w:pPr>
      <w:r>
        <w:rPr>
          <w:sz w:val="20"/>
        </w:rPr>
        <w:t xml:space="preserve">(в ред. </w:t>
      </w:r>
      <w:hyperlink w:history="0" r:id="rId122"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Площадь закрепленных охотничьих угодий - 1519,4 тыс. га.</w:t>
      </w:r>
    </w:p>
    <w:p>
      <w:pPr>
        <w:pStyle w:val="0"/>
        <w:jc w:val="both"/>
      </w:pPr>
      <w:r>
        <w:rPr>
          <w:sz w:val="20"/>
        </w:rPr>
        <w:t xml:space="preserve">(в ред. </w:t>
      </w:r>
      <w:hyperlink w:history="0" r:id="rId12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Площадь общедоступных охотничьих угодий - 694,7 тыс. га.</w:t>
      </w:r>
    </w:p>
    <w:p>
      <w:pPr>
        <w:pStyle w:val="0"/>
        <w:jc w:val="both"/>
      </w:pPr>
      <w:r>
        <w:rPr>
          <w:sz w:val="20"/>
        </w:rPr>
        <w:t xml:space="preserve">(в ред. </w:t>
      </w:r>
      <w:hyperlink w:history="0" r:id="rId12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Площадь особо охраняемых природных территорий регионального значения, в том числе 15 государственных природных комплексных (ландшафтных) заказников регионального значения и 2 государственных природных парков - 268,4 тыс. га.</w:t>
      </w:r>
    </w:p>
    <w:p>
      <w:pPr>
        <w:pStyle w:val="0"/>
        <w:jc w:val="both"/>
      </w:pPr>
      <w:r>
        <w:rPr>
          <w:sz w:val="20"/>
        </w:rPr>
        <w:t xml:space="preserve">(в ред. </w:t>
      </w:r>
      <w:hyperlink w:history="0" r:id="rId125"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Абзац исключен. - </w:t>
      </w:r>
      <w:hyperlink w:history="0" r:id="rId126"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На территории области создана система особо охраняемых природных территорий, состоящая из особо охраняемых природных территорий федерального значения, особо охраняемых природных территорий регионального значения, которая включает в себя 15 государственных природных комплексных (ландшафтных) заказников регионального значения и двух государственных природных парков общей площадью 12,4 тыс. га. Задачи сохранения и воспроизводства животного мира также решают зоны охраны охотничьих ресурсов, созданные </w:t>
      </w:r>
      <w:hyperlink w:history="0" r:id="rId127" w:tooltip="Постановление губернатора Белгородской обл. от 04.05.2010 N 33 (ред. от 12.12.2022) &quot;О зонах охраны охотничьих ресурсов&quot; {КонсультантПлюс}">
        <w:r>
          <w:rPr>
            <w:sz w:val="20"/>
            <w:color w:val="0000ff"/>
          </w:rPr>
          <w:t xml:space="preserve">постановлением</w:t>
        </w:r>
      </w:hyperlink>
      <w:r>
        <w:rPr>
          <w:sz w:val="20"/>
        </w:rPr>
        <w:t xml:space="preserve"> Губернатора Белгородской области от 4 мая 2010 года N 33 "О зонах охраны охотничьих ресурсов" на территориях закрепленных и общедоступных охотничьих угодий, на которых ограничено использование охотничьих ресурсов.</w:t>
      </w:r>
    </w:p>
    <w:p>
      <w:pPr>
        <w:pStyle w:val="0"/>
        <w:jc w:val="both"/>
      </w:pPr>
      <w:r>
        <w:rPr>
          <w:sz w:val="20"/>
        </w:rPr>
        <w:t xml:space="preserve">(в ред. </w:t>
      </w:r>
      <w:hyperlink w:history="0" r:id="rId12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69,8 процента охотничьих угодий области закреплено за юридическими лицами. Охотничьи угодья, в которых физические лица имеют право свободно пребывать в целях охоты, - общедоступные охотничьи угодья составляют 30,2 процента от их общей площади.</w:t>
      </w:r>
    </w:p>
    <w:p>
      <w:pPr>
        <w:pStyle w:val="0"/>
        <w:jc w:val="both"/>
      </w:pPr>
      <w:r>
        <w:rPr>
          <w:sz w:val="20"/>
        </w:rPr>
        <w:t xml:space="preserve">(в ред. </w:t>
      </w:r>
      <w:hyperlink w:history="0" r:id="rId129"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Пользование охотничьими ресурсами осуществляют 23 юридических лица и 44003 охотника, внесенных в Государственный охотхозяйственный реестр. Они ежегодно осваивают охотничьи ресурсы области на основании 44491 разрешения.</w:t>
      </w:r>
    </w:p>
    <w:p>
      <w:pPr>
        <w:pStyle w:val="0"/>
        <w:jc w:val="both"/>
      </w:pPr>
      <w:r>
        <w:rPr>
          <w:sz w:val="20"/>
        </w:rPr>
        <w:t xml:space="preserve">(в ред. </w:t>
      </w:r>
      <w:hyperlink w:history="0" r:id="rId13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Охотничьими ресурсами на территории области являются 73 вида животных, из них 46 видов птиц и 27 видов зверей. Из них в хозяйственный оборот вовлечено 46,1 процента видов, а в интенсивный - 22,4 процента. Основной вид пользования дикими животными - любительская и спортивная охота. Охота проводится в два периода - весенний и осенне-зимний.</w:t>
      </w:r>
    </w:p>
    <w:p>
      <w:pPr>
        <w:pStyle w:val="0"/>
        <w:spacing w:before="200" w:line-rule="auto"/>
        <w:ind w:firstLine="540"/>
        <w:jc w:val="both"/>
      </w:pPr>
      <w:r>
        <w:rPr>
          <w:sz w:val="20"/>
        </w:rPr>
        <w:t xml:space="preserve">Росту численности большинства видов охотничьих ресурсов и повышению эффективности их использования способствует расширение площадей закрепленных охотничьих угодий на территории области (около 60 процентов охотугодий области), что создает условия для развития охотничьего хозяйства, повышения эффективности воспроизводства охотничьих ресурсов, обеспечивает постепенный рост численности большинства видов охотничьих ресурсов, создает рабочие места в сельской местности). Данные государственного мониторинга охотничьих ресурсов и среды их обитания показывают, что в условиях закрепления охотничьих угодий охотпользователи более эффективно осуществляют ведение охотничьего хозяйства, используют современные методы, вкладывают значительные средства, осуществляют производственный охотничий контроль в угодьях и обеспечивают снижение уровня браконьерства.</w:t>
      </w:r>
    </w:p>
    <w:p>
      <w:pPr>
        <w:pStyle w:val="0"/>
        <w:spacing w:before="200" w:line-rule="auto"/>
        <w:ind w:firstLine="540"/>
        <w:jc w:val="both"/>
      </w:pPr>
      <w:r>
        <w:rPr>
          <w:sz w:val="20"/>
        </w:rPr>
        <w:t xml:space="preserve">Среднегодовая добыча основных охотничьих видов составляет: благородный олень - 60 особей, косуля европейская - 350 особей, заяц-русак - 5000 особей, лисица - 6000 особей, пернатая дичь - 10000 особей, в том числе мигрирующие.</w:t>
      </w:r>
    </w:p>
    <w:p>
      <w:pPr>
        <w:pStyle w:val="0"/>
        <w:jc w:val="both"/>
      </w:pPr>
      <w:r>
        <w:rPr>
          <w:sz w:val="20"/>
        </w:rPr>
        <w:t xml:space="preserve">(в ред. </w:t>
      </w:r>
      <w:hyperlink w:history="0" r:id="rId131"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Современная ситуация, сложившаяся в сфере охраны и использования животного мира, характеризуется наличием проблем, имеющих долговременный характер:</w:t>
      </w:r>
    </w:p>
    <w:p>
      <w:pPr>
        <w:pStyle w:val="0"/>
        <w:spacing w:before="200" w:line-rule="auto"/>
        <w:ind w:firstLine="540"/>
        <w:jc w:val="both"/>
      </w:pPr>
      <w:r>
        <w:rPr>
          <w:sz w:val="20"/>
        </w:rPr>
        <w:t xml:space="preserve">- отсутствие утвержденной схемы размещения, использования и охраны охотничьих угодий на территории области;</w:t>
      </w:r>
    </w:p>
    <w:p>
      <w:pPr>
        <w:pStyle w:val="0"/>
        <w:spacing w:before="200" w:line-rule="auto"/>
        <w:ind w:firstLine="540"/>
        <w:jc w:val="both"/>
      </w:pPr>
      <w:r>
        <w:rPr>
          <w:sz w:val="20"/>
        </w:rPr>
        <w:t xml:space="preserve">- несовершенство правовых механизмов по регулированию отношений, складывающихся в сфере охраны, воспроизводства и использования объектов животного мира, в том числе и по полувольному содержанию и разведению дичи;</w:t>
      </w:r>
    </w:p>
    <w:p>
      <w:pPr>
        <w:pStyle w:val="0"/>
        <w:spacing w:before="200" w:line-rule="auto"/>
        <w:ind w:firstLine="540"/>
        <w:jc w:val="both"/>
      </w:pPr>
      <w:r>
        <w:rPr>
          <w:sz w:val="20"/>
        </w:rPr>
        <w:t xml:space="preserve">- недостаточно эффективная деятельность охотпользователей по сохранению и использованию охотничьих ресурсов, оказанию услуг при организации охоты, а также несоблюдение ими установленных требований;</w:t>
      </w:r>
    </w:p>
    <w:p>
      <w:pPr>
        <w:pStyle w:val="0"/>
        <w:spacing w:before="200" w:line-rule="auto"/>
        <w:ind w:firstLine="540"/>
        <w:jc w:val="both"/>
      </w:pPr>
      <w:r>
        <w:rPr>
          <w:sz w:val="20"/>
        </w:rPr>
        <w:t xml:space="preserve">- недостаточно эффективная финансовая государственная поддержка охраны и воспроизводства объектов животного мира, в том числе наиболее ценных (дикие копытные животные, барсук, сурок и др.);</w:t>
      </w:r>
    </w:p>
    <w:p>
      <w:pPr>
        <w:pStyle w:val="0"/>
        <w:spacing w:before="200" w:line-rule="auto"/>
        <w:ind w:firstLine="540"/>
        <w:jc w:val="both"/>
      </w:pPr>
      <w:r>
        <w:rPr>
          <w:sz w:val="20"/>
        </w:rPr>
        <w:t xml:space="preserve">- недостаток результатов ресурсных и экосистемных научных исследований объектов животного мира области;</w:t>
      </w:r>
    </w:p>
    <w:p>
      <w:pPr>
        <w:pStyle w:val="0"/>
        <w:spacing w:before="200" w:line-rule="auto"/>
        <w:ind w:firstLine="540"/>
        <w:jc w:val="both"/>
      </w:pPr>
      <w:r>
        <w:rPr>
          <w:sz w:val="20"/>
        </w:rPr>
        <w:t xml:space="preserve">- значительная антропогенная нагрузка на экосистемы области;</w:t>
      </w:r>
    </w:p>
    <w:p>
      <w:pPr>
        <w:pStyle w:val="0"/>
        <w:spacing w:before="200" w:line-rule="auto"/>
        <w:ind w:firstLine="540"/>
        <w:jc w:val="both"/>
      </w:pPr>
      <w:r>
        <w:rPr>
          <w:sz w:val="20"/>
        </w:rPr>
        <w:t xml:space="preserve">- незаконная добыча объектов животного мира;</w:t>
      </w:r>
    </w:p>
    <w:p>
      <w:pPr>
        <w:pStyle w:val="0"/>
        <w:spacing w:before="200" w:line-rule="auto"/>
        <w:ind w:firstLine="540"/>
        <w:jc w:val="both"/>
      </w:pPr>
      <w:r>
        <w:rPr>
          <w:sz w:val="20"/>
        </w:rPr>
        <w:t xml:space="preserve">- сокращение численности и ареала отдельных видов объектов животного мира;</w:t>
      </w:r>
    </w:p>
    <w:p>
      <w:pPr>
        <w:pStyle w:val="0"/>
        <w:spacing w:before="200" w:line-rule="auto"/>
        <w:ind w:firstLine="540"/>
        <w:jc w:val="both"/>
      </w:pPr>
      <w:r>
        <w:rPr>
          <w:sz w:val="20"/>
        </w:rPr>
        <w:t xml:space="preserve">- наличие угрозы заноса и распространения особо опасных и карантинных болезней, в том числе общих для человека и животных;</w:t>
      </w:r>
    </w:p>
    <w:p>
      <w:pPr>
        <w:pStyle w:val="0"/>
        <w:spacing w:before="200" w:line-rule="auto"/>
        <w:ind w:firstLine="540"/>
        <w:jc w:val="both"/>
      </w:pPr>
      <w:r>
        <w:rPr>
          <w:sz w:val="20"/>
        </w:rPr>
        <w:t xml:space="preserve">- недостаточная информационно-аналитическая поддержка охотничьего хозяйства;</w:t>
      </w:r>
    </w:p>
    <w:p>
      <w:pPr>
        <w:pStyle w:val="0"/>
        <w:spacing w:before="200" w:line-rule="auto"/>
        <w:ind w:firstLine="540"/>
        <w:jc w:val="both"/>
      </w:pPr>
      <w:r>
        <w:rPr>
          <w:sz w:val="20"/>
        </w:rPr>
        <w:t xml:space="preserve">- нерациональное закрепление охотугодий области без учета интересов населения области и распространения популяционных группировок охотничьих ресурсов;</w:t>
      </w:r>
    </w:p>
    <w:p>
      <w:pPr>
        <w:pStyle w:val="0"/>
        <w:spacing w:before="200" w:line-rule="auto"/>
        <w:ind w:firstLine="540"/>
        <w:jc w:val="both"/>
      </w:pPr>
      <w:r>
        <w:rPr>
          <w:sz w:val="20"/>
        </w:rPr>
        <w:t xml:space="preserve">- недостаточно высокий уровень экологической культуры пользователей объектов животного мира и среды их обитания.</w:t>
      </w:r>
    </w:p>
    <w:p>
      <w:pPr>
        <w:pStyle w:val="0"/>
        <w:spacing w:before="200" w:line-rule="auto"/>
        <w:ind w:firstLine="540"/>
        <w:jc w:val="both"/>
      </w:pPr>
      <w:r>
        <w:rPr>
          <w:sz w:val="20"/>
        </w:rPr>
        <w:t xml:space="preserve">Следствием этих проблем являются:</w:t>
      </w:r>
    </w:p>
    <w:p>
      <w:pPr>
        <w:pStyle w:val="0"/>
        <w:spacing w:before="200" w:line-rule="auto"/>
        <w:ind w:firstLine="540"/>
        <w:jc w:val="both"/>
      </w:pPr>
      <w:r>
        <w:rPr>
          <w:sz w:val="20"/>
        </w:rPr>
        <w:t xml:space="preserve">- неудовлетворенность граждан доступом к пользованию объектами животного мира, обитающих на территории области;</w:t>
      </w:r>
    </w:p>
    <w:p>
      <w:pPr>
        <w:pStyle w:val="0"/>
        <w:spacing w:before="200" w:line-rule="auto"/>
        <w:ind w:firstLine="540"/>
        <w:jc w:val="both"/>
      </w:pPr>
      <w:r>
        <w:rPr>
          <w:sz w:val="20"/>
        </w:rPr>
        <w:t xml:space="preserve">- низкий объем инвестиций в дальнейшее развитие охотничьего хозяйства области;</w:t>
      </w:r>
    </w:p>
    <w:p>
      <w:pPr>
        <w:pStyle w:val="0"/>
        <w:spacing w:before="200" w:line-rule="auto"/>
        <w:ind w:firstLine="540"/>
        <w:jc w:val="both"/>
      </w:pPr>
      <w:r>
        <w:rPr>
          <w:sz w:val="20"/>
        </w:rPr>
        <w:t xml:space="preserve">- сокращение численности отдельных видов животного мира на территории области.</w:t>
      </w:r>
    </w:p>
    <w:p>
      <w:pPr>
        <w:pStyle w:val="0"/>
        <w:spacing w:before="200" w:line-rule="auto"/>
        <w:ind w:firstLine="540"/>
        <w:jc w:val="both"/>
      </w:pPr>
      <w:r>
        <w:rPr>
          <w:sz w:val="20"/>
        </w:rPr>
        <w:t xml:space="preserve">Решение указанных проблем возможно посредством разработки и утверждения на уровне региона схемы размещения, использования и охраны охотничьих угодий и зонирования территории области в отношении объектов животного мира, не отнесенных к объектам охоты. Данное полномочие возложено на субъекты Российской Федерации </w:t>
      </w:r>
      <w:hyperlink w:history="0" r:id="rId132"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статьей 34</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Разработка территориального охотустройства должна быть осуществлена по единой методологической основе (с учетом возможности комплексного использования охотничьих, рыбных и недревесных растительных ресурсов). Реализация данного полномочия не обеспечена финансированием из бюджета области, что решается в рамках настоящей подпрограммы.</w:t>
      </w:r>
    </w:p>
    <w:p>
      <w:pPr>
        <w:pStyle w:val="0"/>
        <w:spacing w:before="200" w:line-rule="auto"/>
        <w:ind w:firstLine="540"/>
        <w:jc w:val="both"/>
      </w:pPr>
      <w:r>
        <w:rPr>
          <w:sz w:val="20"/>
        </w:rPr>
        <w:t xml:space="preserve">Ее решение позволит выявить неэффективно работающие хозяйства и перераспределить площади в результате аукционов между лицами, желающими инвестировать в развитие биоразнообразия и экологический туризм области.</w:t>
      </w:r>
    </w:p>
    <w:p>
      <w:pPr>
        <w:pStyle w:val="0"/>
        <w:spacing w:before="200" w:line-rule="auto"/>
        <w:ind w:firstLine="540"/>
        <w:jc w:val="both"/>
      </w:pPr>
      <w:r>
        <w:rPr>
          <w:sz w:val="20"/>
        </w:rPr>
        <w:t xml:space="preserve">Для сохранения эпизоотического благополучия области необходимо ежегодное проведение ветеринарных профилактических мероприятий против бешенства диких плотоядных животных и мониторинговых лабораторно-диагностических исследований тушек на грипп диких птиц, кабанов - на АЧС, диких плотоядных - на бешенство, трихинеллез и другие особо опасные болезни животных, в том числе общие для человека и животных.</w:t>
      </w:r>
    </w:p>
    <w:p>
      <w:pPr>
        <w:pStyle w:val="0"/>
        <w:spacing w:before="200" w:line-rule="auto"/>
        <w:ind w:firstLine="540"/>
        <w:jc w:val="both"/>
      </w:pPr>
      <w:r>
        <w:rPr>
          <w:sz w:val="20"/>
        </w:rPr>
        <w:t xml:space="preserve">Правительством области принято </w:t>
      </w:r>
      <w:hyperlink w:history="0" r:id="rId133"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постановление</w:t>
        </w:r>
      </w:hyperlink>
      <w:r>
        <w:rPr>
          <w:sz w:val="20"/>
        </w:rPr>
        <w:t xml:space="preserve"> от 25 января 2010 года N 27-пп "Об утверждении Стратегии социально-экономического развития Белгородской области на период до 2025 года", определяющее основные приоритеты и направления развития природно-экологического каркаса области.</w:t>
      </w:r>
    </w:p>
    <w:p>
      <w:pPr>
        <w:pStyle w:val="0"/>
        <w:spacing w:before="200" w:line-rule="auto"/>
        <w:ind w:firstLine="540"/>
        <w:jc w:val="both"/>
      </w:pPr>
      <w:r>
        <w:rPr>
          <w:sz w:val="20"/>
        </w:rPr>
        <w:t xml:space="preserve">С целью создания прозрачной системы взаимодействия органов государственной власти области в сфере охраны, воспроизводства и использования охотничьих ресурсов и других объектов животного мира и среды их обитания с населением ведется сайт управления экологического и охотничьего надзора Белгородской области в сети Интернет - </w:t>
      </w:r>
      <w:r>
        <w:rPr>
          <w:sz w:val="20"/>
        </w:rPr>
        <w:t xml:space="preserve">http://www.econadzor31.ru</w:t>
      </w:r>
      <w:r>
        <w:rPr>
          <w:sz w:val="20"/>
        </w:rPr>
        <w:t xml:space="preserve">. На данном сайте представлен широкий спектр информации о деятельности управления, состоянии и использовании охотничьих ресурсов области, других объектов животного мира и среды их обитания: нормативные правовые акты, регулирующие отношения в сфере охотничьего хозяйства, статистические данные о животном мире и среде его обитания, информация об охотпользователях области, перечень предоставляемых государственных услуг и функций, справочная информация.</w:t>
      </w:r>
    </w:p>
    <w:p>
      <w:pPr>
        <w:pStyle w:val="0"/>
        <w:jc w:val="both"/>
      </w:pPr>
      <w:r>
        <w:rPr>
          <w:sz w:val="20"/>
        </w:rPr>
        <w:t xml:space="preserve">(в ред. </w:t>
      </w:r>
      <w:hyperlink w:history="0" r:id="rId13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В последние годы основные преобразования в сфере сохранения, воспроизводства и использования животного мира затронули следующие направления:</w:t>
      </w:r>
    </w:p>
    <w:p>
      <w:pPr>
        <w:pStyle w:val="0"/>
        <w:spacing w:before="200" w:line-rule="auto"/>
        <w:ind w:firstLine="540"/>
        <w:jc w:val="both"/>
      </w:pPr>
      <w:r>
        <w:rPr>
          <w:sz w:val="20"/>
        </w:rPr>
        <w:t xml:space="preserve">- передача полномочий по обеспечению воспроизводства и использованию охотничьих ресурсов на уровень субъектов Российской Федерации;</w:t>
      </w:r>
    </w:p>
    <w:p>
      <w:pPr>
        <w:pStyle w:val="0"/>
        <w:spacing w:before="200" w:line-rule="auto"/>
        <w:ind w:firstLine="540"/>
        <w:jc w:val="both"/>
      </w:pPr>
      <w:r>
        <w:rPr>
          <w:sz w:val="20"/>
        </w:rPr>
        <w:t xml:space="preserve">- рост количества охотпользователей, расширение площадей закрепленных охотничьих угодий на территории области;</w:t>
      </w:r>
    </w:p>
    <w:p>
      <w:pPr>
        <w:pStyle w:val="0"/>
        <w:spacing w:before="200" w:line-rule="auto"/>
        <w:ind w:firstLine="540"/>
        <w:jc w:val="both"/>
      </w:pPr>
      <w:r>
        <w:rPr>
          <w:sz w:val="20"/>
        </w:rPr>
        <w:t xml:space="preserve">- принятие и дальнейшая реализация Федерального </w:t>
      </w:r>
      <w:hyperlink w:history="0" r:id="rId135" w:tooltip="Федеральный закон от 18.07.2011 N 242-ФЗ (ред. от 03.07.2016)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с изм. и доп., вступ. в силу с 01.01.2018) ------------ Недействующая редакция {КонсультантПлюс}">
        <w:r>
          <w:rPr>
            <w:sz w:val="20"/>
            <w:color w:val="0000ff"/>
          </w:rPr>
          <w:t xml:space="preserve">закона</w:t>
        </w:r>
      </w:hyperlink>
      <w:r>
        <w:rPr>
          <w:sz w:val="20"/>
        </w:rPr>
        <w:t xml:space="preserve">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w:t>
      </w:r>
    </w:p>
    <w:p>
      <w:pPr>
        <w:pStyle w:val="0"/>
        <w:spacing w:before="200" w:line-rule="auto"/>
        <w:ind w:firstLine="540"/>
        <w:jc w:val="both"/>
      </w:pPr>
      <w:r>
        <w:rPr>
          <w:sz w:val="20"/>
        </w:rPr>
        <w:t xml:space="preserve">- сохранение биологического разнообразия как залога устойчивого развития области. Биоразнообразие необходимо рассматривать в качестве базового природного актива, потеря которого может привести к деградации ряда экосистемных услуг, что нанесет ущерб благополучию жизнедеятельности людей;</w:t>
      </w:r>
    </w:p>
    <w:p>
      <w:pPr>
        <w:pStyle w:val="0"/>
        <w:spacing w:before="200" w:line-rule="auto"/>
        <w:ind w:firstLine="540"/>
        <w:jc w:val="both"/>
      </w:pPr>
      <w:r>
        <w:rPr>
          <w:sz w:val="20"/>
        </w:rPr>
        <w:t xml:space="preserve">- проведение административной реформы, в рамках которой была проведена работа по разработке административных регламентов и стандартов государственных, муниципальных услуг, оказываемых органами власти (местного самоуправления), в целях обеспечения эффективности деятельности органов власти и местного самоуправления и прозрачности административных процедур для потребителей;</w:t>
      </w:r>
    </w:p>
    <w:p>
      <w:pPr>
        <w:pStyle w:val="0"/>
        <w:spacing w:before="200" w:line-rule="auto"/>
        <w:ind w:firstLine="540"/>
        <w:jc w:val="both"/>
      </w:pPr>
      <w:r>
        <w:rPr>
          <w:sz w:val="20"/>
        </w:rPr>
        <w:t xml:space="preserve">- проведение значительных работ по информатизации отрасли: внедрение информационно-коммуникационных технологий в деятельность управления экологической безопасности и надзора за использованием объектов животного мира, водных биологических ресурсов Белгородской области.</w:t>
      </w:r>
    </w:p>
    <w:p>
      <w:pPr>
        <w:pStyle w:val="0"/>
        <w:spacing w:before="200" w:line-rule="auto"/>
        <w:ind w:firstLine="540"/>
        <w:jc w:val="both"/>
      </w:pPr>
      <w:r>
        <w:rPr>
          <w:sz w:val="20"/>
        </w:rPr>
        <w:t xml:space="preserve">В рамках осуществления мер государственного управления в области был принят ряд правовых актов:</w:t>
      </w:r>
    </w:p>
    <w:p>
      <w:pPr>
        <w:pStyle w:val="0"/>
        <w:spacing w:before="200" w:line-rule="auto"/>
        <w:ind w:firstLine="540"/>
        <w:jc w:val="both"/>
      </w:pPr>
      <w:r>
        <w:rPr>
          <w:sz w:val="20"/>
        </w:rPr>
        <w:t xml:space="preserve">- </w:t>
      </w:r>
      <w:hyperlink w:history="0" r:id="rId136" w:tooltip="Постановление губернатора Белгородской обл. от 04.05.2010 N 33 (ред. от 12.12.2022) &quot;О зонах охраны охотничьих ресурсов&quot; {КонсультантПлюс}">
        <w:r>
          <w:rPr>
            <w:sz w:val="20"/>
            <w:color w:val="0000ff"/>
          </w:rPr>
          <w:t xml:space="preserve">постановление</w:t>
        </w:r>
      </w:hyperlink>
      <w:r>
        <w:rPr>
          <w:sz w:val="20"/>
        </w:rPr>
        <w:t xml:space="preserve"> Губернатора Белгородской области от 4 мая 2010 года N 33 "О зонах охраны охотничьих ресурсов";</w:t>
      </w:r>
    </w:p>
    <w:p>
      <w:pPr>
        <w:pStyle w:val="0"/>
        <w:spacing w:before="200" w:line-rule="auto"/>
        <w:ind w:firstLine="540"/>
        <w:jc w:val="both"/>
      </w:pPr>
      <w:r>
        <w:rPr>
          <w:sz w:val="20"/>
        </w:rPr>
        <w:t xml:space="preserve">- </w:t>
      </w:r>
      <w:hyperlink w:history="0" r:id="rId137" w:tooltip="Постановление правительства Белгородской обл. от 23.07.2012 N 307-пп (ред. от 25.08.2017) &quot;Об утверждении административного регламента предоставления управлением экологической безопасности и надзора за использованием объектов животного мира, водных биологических ресурсов Белгородской области государственной услуг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23 июля 2012 года N 307-пп "Об утверждении административных регламентов предоставления управлением охраны и использования объектов животного мира, водных биологических ресурсов и среды их обитания Белгородской области государственных услуг";</w:t>
      </w:r>
    </w:p>
    <w:p>
      <w:pPr>
        <w:pStyle w:val="0"/>
        <w:spacing w:before="200" w:line-rule="auto"/>
        <w:ind w:firstLine="540"/>
        <w:jc w:val="both"/>
      </w:pPr>
      <w:r>
        <w:rPr>
          <w:sz w:val="20"/>
        </w:rPr>
        <w:t xml:space="preserve">- </w:t>
      </w:r>
      <w:hyperlink w:history="0" r:id="rId138" w:tooltip="Постановление правительства Белгородской обл. от 23.07.2012 N 308-пп (ред. от 04.07.2016) &quot;Об утверждении административных регламентов предоставления управлением экологической безопасности и надзора за использованием объектов животного мира, водных биологических ресурсов Белгородской области государственных услуг&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23 июля 2012 года N 308-пп "Об утверждении административных регламентов предоставления управлением охраны и использования объектов животного мира, водных биологических ресурсов и среды их обитания Белгородской области государственных услуг";</w:t>
      </w:r>
    </w:p>
    <w:p>
      <w:pPr>
        <w:pStyle w:val="0"/>
        <w:spacing w:before="200" w:line-rule="auto"/>
        <w:ind w:firstLine="540"/>
        <w:jc w:val="both"/>
      </w:pPr>
      <w:r>
        <w:rPr>
          <w:sz w:val="20"/>
        </w:rPr>
        <w:t xml:space="preserve">- </w:t>
      </w:r>
      <w:hyperlink w:history="0" r:id="rId139" w:tooltip="Постановление правительства Белгородской обл. от 11.01.2010 N 1-пп (ред. от 02.05.2023) &quot;О государственных природных комплексных (ландшафтных) заказниках регионального значения&quot; {КонсультантПлюс}">
        <w:r>
          <w:rPr>
            <w:sz w:val="20"/>
            <w:color w:val="0000ff"/>
          </w:rPr>
          <w:t xml:space="preserve">постановление</w:t>
        </w:r>
      </w:hyperlink>
      <w:r>
        <w:rPr>
          <w:sz w:val="20"/>
        </w:rPr>
        <w:t xml:space="preserve"> Правительства Белгородской области от 11 января 2010 N 1-пп "О государственных природных комплексных (ландшафтных) заказниках регионального значения" и другие.</w:t>
      </w:r>
    </w:p>
    <w:p>
      <w:pPr>
        <w:pStyle w:val="0"/>
        <w:jc w:val="both"/>
      </w:pPr>
      <w:r>
        <w:rPr>
          <w:sz w:val="20"/>
        </w:rPr>
        <w:t xml:space="preserve">(в ред. </w:t>
      </w:r>
      <w:hyperlink w:history="0" r:id="rId14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В случае, если подпрограмма 4 не будет реализована, могут возникнуть риски исполнения поручений Президента Российской Федерации и Правительства Российской Федерации, Правительства области по вопросам в сфере охраны, воспроизводства и использования животного мира.</w:t>
      </w:r>
    </w:p>
    <w:p>
      <w:pPr>
        <w:pStyle w:val="0"/>
        <w:jc w:val="both"/>
      </w:pPr>
      <w:r>
        <w:rPr>
          <w:sz w:val="20"/>
        </w:rPr>
      </w:r>
    </w:p>
    <w:p>
      <w:pPr>
        <w:pStyle w:val="2"/>
        <w:outlineLvl w:val="2"/>
        <w:jc w:val="center"/>
      </w:pPr>
      <w:r>
        <w:rPr>
          <w:sz w:val="20"/>
        </w:rPr>
        <w:t xml:space="preserve">2. Цели, задачи, сроки и этапы реализации подпрограммы 4</w:t>
      </w:r>
    </w:p>
    <w:p>
      <w:pPr>
        <w:pStyle w:val="0"/>
        <w:jc w:val="both"/>
      </w:pPr>
      <w:r>
        <w:rPr>
          <w:sz w:val="20"/>
        </w:rPr>
      </w:r>
    </w:p>
    <w:p>
      <w:pPr>
        <w:pStyle w:val="0"/>
        <w:ind w:firstLine="540"/>
        <w:jc w:val="both"/>
      </w:pPr>
      <w:r>
        <w:rPr>
          <w:sz w:val="20"/>
        </w:rPr>
        <w:t xml:space="preserve">Основной целью подпрограммы 4 является обеспечение эффективного, устойчивого, неистощимого использования объектов животного мира и среды их обитания, сохранение биологического разнообразия на территории области.</w:t>
      </w:r>
    </w:p>
    <w:p>
      <w:pPr>
        <w:pStyle w:val="0"/>
        <w:spacing w:before="200" w:line-rule="auto"/>
        <w:ind w:firstLine="540"/>
        <w:jc w:val="both"/>
      </w:pPr>
      <w:r>
        <w:rPr>
          <w:sz w:val="20"/>
        </w:rPr>
        <w:t xml:space="preserve">Эта цель достигается через комплексные действия в научной, правовой, экономической, организационной и технологической сферах при решении следующих задач:</w:t>
      </w:r>
    </w:p>
    <w:p>
      <w:pPr>
        <w:pStyle w:val="0"/>
        <w:spacing w:before="200" w:line-rule="auto"/>
        <w:ind w:firstLine="540"/>
        <w:jc w:val="both"/>
      </w:pPr>
      <w:r>
        <w:rPr>
          <w:sz w:val="20"/>
        </w:rPr>
        <w:t xml:space="preserve">1. Развитие ресурсной базы охотничьего хозяйства до уровня, соответствующего экологической емкости территории области.</w:t>
      </w:r>
    </w:p>
    <w:p>
      <w:pPr>
        <w:pStyle w:val="0"/>
        <w:spacing w:before="200" w:line-rule="auto"/>
        <w:ind w:firstLine="540"/>
        <w:jc w:val="both"/>
      </w:pPr>
      <w:r>
        <w:rPr>
          <w:sz w:val="20"/>
        </w:rPr>
        <w:t xml:space="preserve">2. Развитие конкурентного охотничьего хозяйства, обеспечивающего удовлетворение потребностей населения области.</w:t>
      </w:r>
    </w:p>
    <w:p>
      <w:pPr>
        <w:pStyle w:val="0"/>
        <w:spacing w:before="200" w:line-rule="auto"/>
        <w:ind w:firstLine="540"/>
        <w:jc w:val="both"/>
      </w:pPr>
      <w:r>
        <w:rPr>
          <w:sz w:val="20"/>
        </w:rPr>
        <w:t xml:space="preserve">3.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w:t>
      </w:r>
    </w:p>
    <w:p>
      <w:pPr>
        <w:pStyle w:val="0"/>
        <w:spacing w:before="200" w:line-rule="auto"/>
        <w:ind w:firstLine="540"/>
        <w:jc w:val="both"/>
      </w:pPr>
      <w:r>
        <w:rPr>
          <w:sz w:val="20"/>
        </w:rPr>
        <w:t xml:space="preserve">Реализация подпрограммы 4 осуществляется в два этапа: 1 - 2014 - 2020 годы;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4</w:t>
      </w:r>
    </w:p>
    <w:p>
      <w:pPr>
        <w:pStyle w:val="0"/>
        <w:jc w:val="both"/>
      </w:pPr>
      <w:r>
        <w:rPr>
          <w:sz w:val="20"/>
        </w:rPr>
      </w:r>
    </w:p>
    <w:p>
      <w:pPr>
        <w:pStyle w:val="0"/>
        <w:ind w:firstLine="540"/>
        <w:jc w:val="both"/>
      </w:pPr>
      <w:r>
        <w:rPr>
          <w:sz w:val="20"/>
        </w:rPr>
        <w:t xml:space="preserve">В рамках подпрограммы 4 для достижения поставленной цели и решения задачи 1 "Развитие ресурсной базы охотничьего хозяйства до уровня, соответствующего экологической емкости территории области" будут реализованы следующие основные мероприятия:</w:t>
      </w:r>
    </w:p>
    <w:p>
      <w:pPr>
        <w:pStyle w:val="0"/>
        <w:spacing w:before="200" w:line-rule="auto"/>
        <w:ind w:firstLine="540"/>
        <w:jc w:val="both"/>
      </w:pPr>
      <w:r>
        <w:rPr>
          <w:sz w:val="20"/>
        </w:rPr>
        <w:t xml:space="preserve">Основное мероприятие 4.1 "Осуществление переданных органам государственной власти субъектов Российской Федерации в соответствии с </w:t>
      </w:r>
      <w:hyperlink w:history="0" r:id="rId141"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p>
      <w:pPr>
        <w:pStyle w:val="0"/>
        <w:spacing w:before="200" w:line-rule="auto"/>
        <w:ind w:firstLine="540"/>
        <w:jc w:val="both"/>
      </w:pPr>
      <w:r>
        <w:rPr>
          <w:sz w:val="20"/>
        </w:rPr>
        <w:t xml:space="preserve">Основное мероприятие 4.2 "Мероприятия в рамках подпрограммы 4 "Сохранение, воспроизводство и использование животного мира".</w:t>
      </w:r>
    </w:p>
    <w:p>
      <w:pPr>
        <w:pStyle w:val="0"/>
        <w:spacing w:before="200" w:line-rule="auto"/>
        <w:ind w:firstLine="540"/>
        <w:jc w:val="both"/>
      </w:pPr>
      <w:r>
        <w:rPr>
          <w:sz w:val="20"/>
        </w:rPr>
        <w:t xml:space="preserve">Их реализация обеспечит сохранение охотничьих ресурсов, их расширенное воспроизводство и рациональное использование в рамках соблюдения норм российского законодательства и законодательства области, регулирующих данную сферу, выполнения поручений Президента Российской Федерации, Правительства Российской Федерации и федеральных органов государственной власти.</w:t>
      </w:r>
    </w:p>
    <w:p>
      <w:pPr>
        <w:pStyle w:val="0"/>
        <w:spacing w:before="200" w:line-rule="auto"/>
        <w:ind w:firstLine="540"/>
        <w:jc w:val="both"/>
      </w:pPr>
      <w:r>
        <w:rPr>
          <w:sz w:val="20"/>
        </w:rPr>
        <w:t xml:space="preserve">Реализация этих мероприятий будет осуществляться по следующим направлениям:</w:t>
      </w:r>
    </w:p>
    <w:p>
      <w:pPr>
        <w:pStyle w:val="0"/>
        <w:spacing w:before="200" w:line-rule="auto"/>
        <w:ind w:firstLine="540"/>
        <w:jc w:val="both"/>
      </w:pPr>
      <w:r>
        <w:rPr>
          <w:sz w:val="20"/>
        </w:rPr>
        <w:t xml:space="preserve">- проведение комплекса биотехнических мероприятий, направленных на обеспечение сохранения охотничьих ресурсов, их воспроизводства и улучшения качества среды их обитания;</w:t>
      </w:r>
    </w:p>
    <w:p>
      <w:pPr>
        <w:pStyle w:val="0"/>
        <w:spacing w:before="200" w:line-rule="auto"/>
        <w:ind w:firstLine="540"/>
        <w:jc w:val="both"/>
      </w:pPr>
      <w:r>
        <w:rPr>
          <w:sz w:val="20"/>
        </w:rPr>
        <w:t xml:space="preserve">- регулирование численности объектов животного мира, обеспечение мониторинговых лабораторно-диагностических исследований тушек диких животных на особо опасные болезни животных, в том числе общие для человека и животных, например, птиц - на грипп птиц, кабанов - на АЧС, диких плотоядных - на бешенство, трихинеллез и другие болезни;</w:t>
      </w:r>
    </w:p>
    <w:p>
      <w:pPr>
        <w:pStyle w:val="0"/>
        <w:spacing w:before="200" w:line-rule="auto"/>
        <w:ind w:firstLine="540"/>
        <w:jc w:val="both"/>
      </w:pPr>
      <w:r>
        <w:rPr>
          <w:sz w:val="20"/>
        </w:rPr>
        <w:t xml:space="preserve">- совершенствование форм и методов государственного охотничьего контроля и надзора за соблюдением законодательства в области охраны и использования объектов животного мира и среды их обитания, производственного контроля и способов охраны охотничьих ресурсов и среды их обитания;</w:t>
      </w:r>
    </w:p>
    <w:p>
      <w:pPr>
        <w:pStyle w:val="0"/>
        <w:spacing w:before="200" w:line-rule="auto"/>
        <w:ind w:firstLine="540"/>
        <w:jc w:val="both"/>
      </w:pPr>
      <w:r>
        <w:rPr>
          <w:sz w:val="20"/>
        </w:rPr>
        <w:t xml:space="preserve">- проведение учета численности охотничьих ресурсов и сбор сведений об их распространении и их использовании, сведений о состоянии среды их обитания, исполнение функций по ведению государственного охотхозяйственного реестра, а также выдаче охотничьих билетов;</w:t>
      </w:r>
    </w:p>
    <w:p>
      <w:pPr>
        <w:pStyle w:val="0"/>
        <w:spacing w:before="200" w:line-rule="auto"/>
        <w:ind w:firstLine="540"/>
        <w:jc w:val="both"/>
      </w:pPr>
      <w:r>
        <w:rPr>
          <w:sz w:val="20"/>
        </w:rPr>
        <w:t xml:space="preserve">- обеспечение проведения ветеринарно-профилактических и противоэпизоотических мероприятий на территории области.</w:t>
      </w:r>
    </w:p>
    <w:p>
      <w:pPr>
        <w:pStyle w:val="0"/>
        <w:spacing w:before="200" w:line-rule="auto"/>
        <w:ind w:firstLine="540"/>
        <w:jc w:val="both"/>
      </w:pPr>
      <w:r>
        <w:rPr>
          <w:sz w:val="20"/>
        </w:rPr>
        <w:t xml:space="preserve">Решение задачи 2 "Развитие конкурентного охотничьего хозяйства, обеспечивающего удовлетворение потребностей населения области" будет реализовано основным мероприятием 4.4 "Осуществление переданных органам государственной власти субъектов Российской Федерации в соответствии с </w:t>
      </w:r>
      <w:hyperlink w:history="0" r:id="rId142"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p>
      <w:pPr>
        <w:pStyle w:val="0"/>
        <w:jc w:val="both"/>
      </w:pPr>
      <w:r>
        <w:rPr>
          <w:sz w:val="20"/>
        </w:rPr>
        <w:t xml:space="preserve">(в ред. </w:t>
      </w:r>
      <w:hyperlink w:history="0" r:id="rId143"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Реализация данного основного мероприятия будет осуществляться по следующим направлениям:</w:t>
      </w:r>
    </w:p>
    <w:p>
      <w:pPr>
        <w:pStyle w:val="0"/>
        <w:spacing w:before="200" w:line-rule="auto"/>
        <w:ind w:firstLine="540"/>
        <w:jc w:val="both"/>
      </w:pPr>
      <w:r>
        <w:rPr>
          <w:sz w:val="20"/>
        </w:rPr>
        <w:t xml:space="preserve">- проведение контрольных и надзорных мероприятий по соблюдению юридическими лицами, частными предпринимателями и физическими лицами действующего законодательства в сфере охоты;</w:t>
      </w:r>
    </w:p>
    <w:p>
      <w:pPr>
        <w:pStyle w:val="0"/>
        <w:spacing w:before="200" w:line-rule="auto"/>
        <w:ind w:firstLine="540"/>
        <w:jc w:val="both"/>
      </w:pPr>
      <w:r>
        <w:rPr>
          <w:sz w:val="20"/>
        </w:rPr>
        <w:t xml:space="preserve">- удовлетворение спроса охотников на получение возможности осуществления охоты, выбора ими условий охоты и получения услуг в сфере охотничьего хозяйства.</w:t>
      </w:r>
    </w:p>
    <w:p>
      <w:pPr>
        <w:pStyle w:val="0"/>
        <w:spacing w:before="200" w:line-rule="auto"/>
        <w:ind w:firstLine="540"/>
        <w:jc w:val="both"/>
      </w:pPr>
      <w:r>
        <w:rPr>
          <w:sz w:val="20"/>
        </w:rPr>
        <w:t xml:space="preserve">Решение задачи 3 "Создание условий жителям области для реализации конституционных прав, связанных с доступом к использованию природных ресурсов - объектов животного мира" будет реализовано основным мероприятием 4.5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p>
      <w:pPr>
        <w:pStyle w:val="0"/>
        <w:jc w:val="both"/>
      </w:pPr>
      <w:r>
        <w:rPr>
          <w:sz w:val="20"/>
        </w:rPr>
        <w:t xml:space="preserve">(в ред. </w:t>
      </w:r>
      <w:hyperlink w:history="0" r:id="rId144"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Реализация данного основного мероприятия направлена на выполнение задачи по исполнению государственных функций и оказанию государственных услуг управлением экологической безопасности и надзора за использованием объектов животного мира, водных биологических ресурсов Белгородской области в сфере охраны, воспроизводства и регулирования использования объектов животного мира, не отнесенных к охотничьим ресурсам и водным биологическим ресурсам, обитающим на территории области, за исключением находящихся на особо охраняемых природных территориях федерального значения, а также занесенных в Красную книгу Российской Федерации.</w:t>
      </w:r>
    </w:p>
    <w:p>
      <w:pPr>
        <w:pStyle w:val="0"/>
        <w:spacing w:before="200" w:line-rule="auto"/>
        <w:ind w:firstLine="540"/>
        <w:jc w:val="both"/>
      </w:pPr>
      <w:r>
        <w:rPr>
          <w:sz w:val="20"/>
        </w:rPr>
        <w:t xml:space="preserve">В рамках данного основного мероприятия будет осуществляться деятельность по следующим направлениям:</w:t>
      </w:r>
    </w:p>
    <w:p>
      <w:pPr>
        <w:pStyle w:val="0"/>
        <w:spacing w:before="200" w:line-rule="auto"/>
        <w:ind w:firstLine="540"/>
        <w:jc w:val="both"/>
      </w:pPr>
      <w:r>
        <w:rPr>
          <w:sz w:val="20"/>
        </w:rPr>
        <w:t xml:space="preserve">- совершенствование форм и методов государственного контроля и надзора за соблюдением законодательства в области охраны и использования объектов животного мира, не отнесенных к охотничьим ресурсам и водным биологическим ресурсам и среды их обитания, за исключением находящихся на особо охраняемых природных территориях федерального значения, а также занесенных в Красную книгу Российской Федерации;</w:t>
      </w:r>
    </w:p>
    <w:p>
      <w:pPr>
        <w:pStyle w:val="0"/>
        <w:spacing w:before="200" w:line-rule="auto"/>
        <w:ind w:firstLine="540"/>
        <w:jc w:val="both"/>
      </w:pPr>
      <w:r>
        <w:rPr>
          <w:sz w:val="20"/>
        </w:rPr>
        <w:t xml:space="preserve">- принятие мер по предотвращению гибели объектов животного мира, не отнесенных к охотничьим ресурсам и водным биологическим ресурсам и среды их обитания обитающим на территории области, за исключением находящихся на особо охраняемых природных территориях федерального значения, а также занесенных в Красную книгу Российской Федерации.</w:t>
      </w:r>
    </w:p>
    <w:p>
      <w:pPr>
        <w:pStyle w:val="0"/>
        <w:jc w:val="both"/>
      </w:pPr>
      <w:r>
        <w:rPr>
          <w:sz w:val="20"/>
        </w:rPr>
      </w:r>
    </w:p>
    <w:p>
      <w:pPr>
        <w:pStyle w:val="2"/>
        <w:outlineLvl w:val="2"/>
        <w:jc w:val="center"/>
      </w:pPr>
      <w:r>
        <w:rPr>
          <w:sz w:val="20"/>
        </w:rPr>
        <w:t xml:space="preserve">4. Прогноз конечных результатов подпрограммы 4.</w:t>
      </w:r>
    </w:p>
    <w:p>
      <w:pPr>
        <w:pStyle w:val="2"/>
        <w:jc w:val="center"/>
      </w:pPr>
      <w:r>
        <w:rPr>
          <w:sz w:val="20"/>
        </w:rPr>
        <w:t xml:space="preserve">Перечень показателей подпрограммы 4</w:t>
      </w:r>
    </w:p>
    <w:p>
      <w:pPr>
        <w:pStyle w:val="0"/>
        <w:jc w:val="both"/>
      </w:pPr>
      <w:r>
        <w:rPr>
          <w:sz w:val="20"/>
        </w:rPr>
      </w:r>
    </w:p>
    <w:p>
      <w:pPr>
        <w:pStyle w:val="0"/>
        <w:ind w:firstLine="540"/>
        <w:jc w:val="both"/>
      </w:pPr>
      <w:r>
        <w:rPr>
          <w:sz w:val="20"/>
        </w:rPr>
        <w:t xml:space="preserve">В результате реализации подпрограммы 4 к 2025 году планируется достижение следующих конечных результатов:</w:t>
      </w:r>
    </w:p>
    <w:p>
      <w:pPr>
        <w:pStyle w:val="0"/>
        <w:spacing w:before="200" w:line-rule="auto"/>
        <w:ind w:firstLine="540"/>
        <w:jc w:val="both"/>
      </w:pPr>
      <w:r>
        <w:rPr>
          <w:sz w:val="20"/>
        </w:rPr>
        <w:t xml:space="preserve">Отношение фактической добычи косули европейской к установленным лимитам добычи до 80 процентов.</w:t>
      </w:r>
    </w:p>
    <w:p>
      <w:pPr>
        <w:pStyle w:val="0"/>
        <w:jc w:val="both"/>
      </w:pPr>
      <w:r>
        <w:rPr>
          <w:sz w:val="20"/>
        </w:rPr>
        <w:t xml:space="preserve">(в ред. </w:t>
      </w:r>
      <w:hyperlink w:history="0" r:id="rId145"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Выбор в качестве показателя эффективности указанных мероприятий косули европейской обусловлен тем, что косуля европейская, как и другие виды крупных животных фитофагов, играют в экосистемах важную ландшафтно образующую роль, имеют важное значение как рекреационный ресурс, особенно востребованный в целях экологического туризма, воспитательных и образовательных целях, являются ценным охотничьим ресурсом. В силу своих размеров, подвижности и больших размеров индивидуальных участков обитания, необходимых для осуществления их жизненных циклов, эти виды наиболее уязвимы к антропогенному воздействию и являются наглядным индикатором отношения общества к животному миру и среде его обитания, что и обусловило выбор этих видов в качестве показателя эффективности одного из основных программных мероприятий.</w:t>
      </w:r>
    </w:p>
    <w:p>
      <w:pPr>
        <w:pStyle w:val="0"/>
        <w:spacing w:before="200" w:line-rule="auto"/>
        <w:ind w:firstLine="540"/>
        <w:jc w:val="both"/>
      </w:pPr>
      <w:r>
        <w:rPr>
          <w:sz w:val="20"/>
        </w:rPr>
        <w:t xml:space="preserve">Стартовый показатель отношения фактической численности охотничьих ресурсов к расчетной по косуле европейской по данным учета численности 2013 года - 16,7 процента. Планируемый ежегодный прирост численности косули европейской эквивалентен 0,2 процента.</w:t>
      </w:r>
    </w:p>
    <w:p>
      <w:pPr>
        <w:pStyle w:val="0"/>
        <w:spacing w:before="200" w:line-rule="auto"/>
        <w:ind w:firstLine="540"/>
        <w:jc w:val="both"/>
      </w:pPr>
      <w:r>
        <w:rPr>
          <w:sz w:val="20"/>
        </w:rPr>
        <w:t xml:space="preserve">Для расчета значения показателя применяется следующая формула:</w:t>
      </w:r>
    </w:p>
    <w:p>
      <w:pPr>
        <w:pStyle w:val="0"/>
        <w:jc w:val="both"/>
      </w:pPr>
      <w:r>
        <w:rPr>
          <w:sz w:val="20"/>
        </w:rPr>
      </w:r>
    </w:p>
    <w:p>
      <w:pPr>
        <w:pStyle w:val="0"/>
        <w:jc w:val="center"/>
      </w:pPr>
      <w:r>
        <w:rPr>
          <w:sz w:val="20"/>
        </w:rPr>
        <w:t xml:space="preserve">К = Чф / Чр x 100%, где:</w:t>
      </w:r>
    </w:p>
    <w:p>
      <w:pPr>
        <w:pStyle w:val="0"/>
        <w:jc w:val="both"/>
      </w:pPr>
      <w:r>
        <w:rPr>
          <w:sz w:val="20"/>
        </w:rPr>
      </w:r>
    </w:p>
    <w:p>
      <w:pPr>
        <w:pStyle w:val="0"/>
        <w:ind w:firstLine="540"/>
        <w:jc w:val="both"/>
      </w:pPr>
      <w:r>
        <w:rPr>
          <w:sz w:val="20"/>
        </w:rPr>
        <w:t xml:space="preserve">К - отношение фактической численности охотничьих ресурсов к расчетной, в процентах по видам;</w:t>
      </w:r>
    </w:p>
    <w:p>
      <w:pPr>
        <w:pStyle w:val="0"/>
        <w:spacing w:before="200" w:line-rule="auto"/>
        <w:ind w:firstLine="540"/>
        <w:jc w:val="both"/>
      </w:pPr>
      <w:r>
        <w:rPr>
          <w:sz w:val="20"/>
        </w:rPr>
        <w:t xml:space="preserve">Чф - учетная численность (ежегодно представляемая);</w:t>
      </w:r>
    </w:p>
    <w:p>
      <w:pPr>
        <w:pStyle w:val="0"/>
        <w:spacing w:before="200" w:line-rule="auto"/>
        <w:ind w:firstLine="540"/>
        <w:jc w:val="both"/>
      </w:pPr>
      <w:r>
        <w:rPr>
          <w:sz w:val="20"/>
        </w:rPr>
        <w:t xml:space="preserve">Чр - величина, рассчитанная с учетом положений Схемы размещения, использования и охраны охотничьих угодий на территории области, утвержденной постановлением Правительства Белгородской области (при ее наличии).</w:t>
      </w:r>
    </w:p>
    <w:p>
      <w:pPr>
        <w:pStyle w:val="0"/>
        <w:spacing w:before="200" w:line-rule="auto"/>
        <w:ind w:firstLine="540"/>
        <w:jc w:val="both"/>
      </w:pPr>
      <w:r>
        <w:rPr>
          <w:sz w:val="20"/>
        </w:rPr>
        <w:t xml:space="preserve">Денежные средства необходимы для создания высокоэффективной системы информационных и биотехнических сооружений, проведения комплекса ветеринарно-профилактических и противоэпизоотических мероприятий, способствующих устойчивому развитию животного мира области.</w:t>
      </w:r>
    </w:p>
    <w:p>
      <w:pPr>
        <w:pStyle w:val="0"/>
        <w:spacing w:before="200" w:line-rule="auto"/>
        <w:ind w:firstLine="540"/>
        <w:jc w:val="both"/>
      </w:pPr>
      <w:r>
        <w:rPr>
          <w:sz w:val="20"/>
        </w:rPr>
        <w:t xml:space="preserve">В качестве показателя мероприятия устанавливается отношение фактической добычи охотничьих ресурсов к установленным лимитам добычи, в процентах, также по основному виду охотничьих ресурсов - европейской косуле. Этот показатель позволит оценить эффективность мероприятий по учету и использованию охотничьих ресурсов, а также оценить эффективность охранных мероприятий и проводимой социальной работы участников программы с населением области.</w:t>
      </w:r>
    </w:p>
    <w:p>
      <w:pPr>
        <w:pStyle w:val="0"/>
        <w:spacing w:before="200" w:line-rule="auto"/>
        <w:ind w:firstLine="540"/>
        <w:jc w:val="both"/>
      </w:pPr>
      <w:r>
        <w:rPr>
          <w:sz w:val="20"/>
        </w:rPr>
        <w:t xml:space="preserve">Стартовым значением этого показателя принято усредненное значение за сезон охоты 2012 - 2013 годов и составляет по косуле европейской 75 процентов.</w:t>
      </w:r>
    </w:p>
    <w:p>
      <w:pPr>
        <w:pStyle w:val="0"/>
        <w:spacing w:before="200" w:line-rule="auto"/>
        <w:ind w:firstLine="540"/>
        <w:jc w:val="both"/>
      </w:pPr>
      <w:r>
        <w:rPr>
          <w:sz w:val="20"/>
        </w:rPr>
        <w:t xml:space="preserve">Для расчета показателя применяется следующая формула:</w:t>
      </w:r>
    </w:p>
    <w:p>
      <w:pPr>
        <w:pStyle w:val="0"/>
        <w:jc w:val="both"/>
      </w:pPr>
      <w:r>
        <w:rPr>
          <w:sz w:val="20"/>
        </w:rPr>
      </w:r>
    </w:p>
    <w:p>
      <w:pPr>
        <w:pStyle w:val="0"/>
        <w:jc w:val="center"/>
      </w:pPr>
      <w:r>
        <w:rPr>
          <w:sz w:val="20"/>
        </w:rPr>
        <w:t xml:space="preserve">К = Дф / Дл x 100%, где:</w:t>
      </w:r>
    </w:p>
    <w:p>
      <w:pPr>
        <w:pStyle w:val="0"/>
        <w:jc w:val="both"/>
      </w:pPr>
      <w:r>
        <w:rPr>
          <w:sz w:val="20"/>
        </w:rPr>
      </w:r>
    </w:p>
    <w:p>
      <w:pPr>
        <w:pStyle w:val="0"/>
        <w:ind w:firstLine="540"/>
        <w:jc w:val="both"/>
      </w:pPr>
      <w:r>
        <w:rPr>
          <w:sz w:val="20"/>
        </w:rPr>
        <w:t xml:space="preserve">К - отношение фактической добычи охотничьих ресурсов к установленным лимитам добычи, в процентах по видам;</w:t>
      </w:r>
    </w:p>
    <w:p>
      <w:pPr>
        <w:pStyle w:val="0"/>
        <w:spacing w:before="200" w:line-rule="auto"/>
        <w:ind w:firstLine="540"/>
        <w:jc w:val="both"/>
      </w:pPr>
      <w:r>
        <w:rPr>
          <w:sz w:val="20"/>
        </w:rPr>
        <w:t xml:space="preserve">Дф - добыча особей одного вида за отчетный период;</w:t>
      </w:r>
    </w:p>
    <w:p>
      <w:pPr>
        <w:pStyle w:val="0"/>
        <w:spacing w:before="200" w:line-rule="auto"/>
        <w:ind w:firstLine="540"/>
        <w:jc w:val="both"/>
      </w:pPr>
      <w:r>
        <w:rPr>
          <w:sz w:val="20"/>
        </w:rPr>
        <w:t xml:space="preserve">Дл - добыча по видам, планируемая и утверждаемая ежегодным постановлением Губернатора области.</w:t>
      </w:r>
    </w:p>
    <w:p>
      <w:pPr>
        <w:pStyle w:val="0"/>
        <w:jc w:val="both"/>
      </w:pPr>
      <w:r>
        <w:rPr>
          <w:sz w:val="20"/>
        </w:rPr>
      </w:r>
    </w:p>
    <w:p>
      <w:pPr>
        <w:pStyle w:val="2"/>
        <w:outlineLvl w:val="2"/>
        <w:jc w:val="center"/>
      </w:pPr>
      <w:r>
        <w:rPr>
          <w:sz w:val="20"/>
        </w:rPr>
        <w:t xml:space="preserve">5. Ресурсное обеспечение подпрограммы 4</w:t>
      </w:r>
    </w:p>
    <w:p>
      <w:pPr>
        <w:pStyle w:val="0"/>
        <w:jc w:val="center"/>
      </w:pPr>
      <w:r>
        <w:rPr>
          <w:sz w:val="20"/>
        </w:rPr>
        <w:t xml:space="preserve">(в ред. </w:t>
      </w:r>
      <w:hyperlink w:history="0" r:id="rId146"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ind w:firstLine="540"/>
        <w:jc w:val="both"/>
      </w:pPr>
      <w:r>
        <w:rPr>
          <w:sz w:val="20"/>
        </w:rPr>
      </w:r>
    </w:p>
    <w:p>
      <w:pPr>
        <w:pStyle w:val="0"/>
        <w:ind w:firstLine="540"/>
        <w:jc w:val="both"/>
      </w:pPr>
      <w:r>
        <w:rPr>
          <w:sz w:val="20"/>
        </w:rPr>
        <w:t xml:space="preserve">Общий объем бюджетных ассигнований подпрограммы 4 в 2014 - 2025 годах - 114273,0 тыс. рублей, в том числе:</w:t>
      </w:r>
    </w:p>
    <w:p>
      <w:pPr>
        <w:pStyle w:val="0"/>
        <w:spacing w:before="200" w:line-rule="auto"/>
        <w:ind w:firstLine="540"/>
        <w:jc w:val="both"/>
      </w:pPr>
      <w:r>
        <w:rPr>
          <w:sz w:val="20"/>
        </w:rPr>
        <w:t xml:space="preserve">за счет средств федерального бюджета - 113108,0 тыс. рублей;</w:t>
      </w:r>
    </w:p>
    <w:p>
      <w:pPr>
        <w:pStyle w:val="0"/>
        <w:spacing w:before="200" w:line-rule="auto"/>
        <w:ind w:firstLine="540"/>
        <w:jc w:val="both"/>
      </w:pPr>
      <w:r>
        <w:rPr>
          <w:sz w:val="20"/>
        </w:rPr>
        <w:t xml:space="preserve">за счет средств областного бюджета - 1165,0 тыс. рублей, в том числе по годам:</w:t>
      </w:r>
    </w:p>
    <w:p>
      <w:pPr>
        <w:pStyle w:val="0"/>
        <w:spacing w:before="200" w:line-rule="auto"/>
        <w:ind w:firstLine="540"/>
        <w:jc w:val="both"/>
      </w:pPr>
      <w:r>
        <w:rPr>
          <w:sz w:val="20"/>
        </w:rPr>
        <w:t xml:space="preserve">2014 год - 1165,0 тыс. рублей;</w:t>
      </w:r>
    </w:p>
    <w:p>
      <w:pPr>
        <w:pStyle w:val="0"/>
        <w:spacing w:before="200" w:line-rule="auto"/>
        <w:ind w:firstLine="540"/>
        <w:jc w:val="both"/>
      </w:pPr>
      <w:r>
        <w:rPr>
          <w:sz w:val="20"/>
        </w:rPr>
        <w:t xml:space="preserve">2015 год - 0 рублей;</w:t>
      </w:r>
    </w:p>
    <w:p>
      <w:pPr>
        <w:pStyle w:val="0"/>
        <w:spacing w:before="200" w:line-rule="auto"/>
        <w:ind w:firstLine="540"/>
        <w:jc w:val="both"/>
      </w:pPr>
      <w:r>
        <w:rPr>
          <w:sz w:val="20"/>
        </w:rPr>
        <w:t xml:space="preserve">2016 год - 0 рублей;</w:t>
      </w:r>
    </w:p>
    <w:p>
      <w:pPr>
        <w:pStyle w:val="0"/>
        <w:spacing w:before="200" w:line-rule="auto"/>
        <w:ind w:firstLine="540"/>
        <w:jc w:val="both"/>
      </w:pPr>
      <w:r>
        <w:rPr>
          <w:sz w:val="20"/>
        </w:rPr>
        <w:t xml:space="preserve">2017 год - 0 рублей;</w:t>
      </w:r>
    </w:p>
    <w:p>
      <w:pPr>
        <w:pStyle w:val="0"/>
        <w:spacing w:before="200" w:line-rule="auto"/>
        <w:ind w:firstLine="540"/>
        <w:jc w:val="both"/>
      </w:pPr>
      <w:r>
        <w:rPr>
          <w:sz w:val="20"/>
        </w:rPr>
        <w:t xml:space="preserve">2018 год - 0 рублей;</w:t>
      </w:r>
    </w:p>
    <w:p>
      <w:pPr>
        <w:pStyle w:val="0"/>
        <w:spacing w:before="200" w:line-rule="auto"/>
        <w:ind w:firstLine="540"/>
        <w:jc w:val="both"/>
      </w:pPr>
      <w:r>
        <w:rPr>
          <w:sz w:val="20"/>
        </w:rPr>
        <w:t xml:space="preserve">2019 год - 0 рублей;</w:t>
      </w:r>
    </w:p>
    <w:p>
      <w:pPr>
        <w:pStyle w:val="0"/>
        <w:spacing w:before="200" w:line-rule="auto"/>
        <w:ind w:firstLine="540"/>
        <w:jc w:val="both"/>
      </w:pPr>
      <w:r>
        <w:rPr>
          <w:sz w:val="20"/>
        </w:rPr>
        <w:t xml:space="preserve">2020 год - 0 рублей;</w:t>
      </w:r>
    </w:p>
    <w:p>
      <w:pPr>
        <w:pStyle w:val="0"/>
        <w:spacing w:before="200" w:line-rule="auto"/>
        <w:ind w:firstLine="540"/>
        <w:jc w:val="both"/>
      </w:pPr>
      <w:r>
        <w:rPr>
          <w:sz w:val="20"/>
        </w:rPr>
        <w:t xml:space="preserve">2021 год - 0 рублей;</w:t>
      </w:r>
    </w:p>
    <w:p>
      <w:pPr>
        <w:pStyle w:val="0"/>
        <w:spacing w:before="200" w:line-rule="auto"/>
        <w:ind w:firstLine="540"/>
        <w:jc w:val="both"/>
      </w:pPr>
      <w:r>
        <w:rPr>
          <w:sz w:val="20"/>
        </w:rPr>
        <w:t xml:space="preserve">2022 год - 0 рублей;</w:t>
      </w:r>
    </w:p>
    <w:p>
      <w:pPr>
        <w:pStyle w:val="0"/>
        <w:spacing w:before="200" w:line-rule="auto"/>
        <w:ind w:firstLine="540"/>
        <w:jc w:val="both"/>
      </w:pPr>
      <w:r>
        <w:rPr>
          <w:sz w:val="20"/>
        </w:rPr>
        <w:t xml:space="preserve">2023 год - 0 рублей;</w:t>
      </w:r>
    </w:p>
    <w:p>
      <w:pPr>
        <w:pStyle w:val="0"/>
        <w:spacing w:before="200" w:line-rule="auto"/>
        <w:ind w:firstLine="540"/>
        <w:jc w:val="both"/>
      </w:pPr>
      <w:r>
        <w:rPr>
          <w:sz w:val="20"/>
        </w:rPr>
        <w:t xml:space="preserve">2024 год - 0 рублей;</w:t>
      </w:r>
    </w:p>
    <w:p>
      <w:pPr>
        <w:pStyle w:val="0"/>
        <w:spacing w:before="200" w:line-rule="auto"/>
        <w:ind w:firstLine="540"/>
        <w:jc w:val="both"/>
      </w:pPr>
      <w:r>
        <w:rPr>
          <w:sz w:val="20"/>
        </w:rPr>
        <w:t xml:space="preserve">2025 год - 0 рублей.</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4 из различных источников финансирования и ресурсное обеспечение реализации подпрограммы 4 за счет средств бюджета Белгородской области по годам представлены соответственно в </w:t>
      </w:r>
      <w:hyperlink w:history="0" w:anchor="P4186" w:tooltip="Приложение N 3">
        <w:r>
          <w:rPr>
            <w:sz w:val="20"/>
            <w:color w:val="0000ff"/>
          </w:rPr>
          <w:t xml:space="preserve">приложениях N 3</w:t>
        </w:r>
      </w:hyperlink>
      <w:r>
        <w:rPr>
          <w:sz w:val="20"/>
        </w:rPr>
        <w:t xml:space="preserve"> и </w:t>
      </w:r>
      <w:hyperlink w:history="0" w:anchor="P7853"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4 подлежит ежегодному уточнению в рамках подготовки проекта закона области об областном бюджете на очередной финансовый год и на плановый период.</w:t>
      </w:r>
    </w:p>
    <w:p>
      <w:pPr>
        <w:pStyle w:val="0"/>
        <w:jc w:val="both"/>
      </w:pPr>
      <w:r>
        <w:rPr>
          <w:sz w:val="20"/>
        </w:rPr>
      </w:r>
    </w:p>
    <w:bookmarkStart w:id="1645" w:name="P1645"/>
    <w:bookmarkEnd w:id="1645"/>
    <w:p>
      <w:pPr>
        <w:pStyle w:val="2"/>
        <w:outlineLvl w:val="1"/>
        <w:jc w:val="center"/>
      </w:pPr>
      <w:r>
        <w:rPr>
          <w:sz w:val="20"/>
        </w:rPr>
        <w:t xml:space="preserve">Паспорт</w:t>
      </w:r>
    </w:p>
    <w:p>
      <w:pPr>
        <w:pStyle w:val="2"/>
        <w:jc w:val="center"/>
      </w:pPr>
      <w:r>
        <w:rPr>
          <w:sz w:val="20"/>
        </w:rPr>
        <w:t xml:space="preserve">подпрограммы 5 "Любительское рыболовство</w:t>
      </w:r>
    </w:p>
    <w:p>
      <w:pPr>
        <w:pStyle w:val="2"/>
        <w:jc w:val="center"/>
      </w:pPr>
      <w:r>
        <w:rPr>
          <w:sz w:val="20"/>
        </w:rPr>
        <w:t xml:space="preserve">и охрана водных биоресурсов"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подпрограммы 5: "Любительское рыболовство и охрана водных биоресурсов" (далее - подпрограмма 5)</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Соисполнители подпрограммы 5</w:t>
            </w:r>
          </w:p>
        </w:tc>
        <w:tc>
          <w:tcPr>
            <w:tcW w:w="6236" w:type="dxa"/>
            <w:tcBorders>
              <w:bottom w:val="nil"/>
            </w:tcBorders>
          </w:tcPr>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47"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Участники подпрограммы 5</w:t>
            </w:r>
          </w:p>
        </w:tc>
        <w:tc>
          <w:tcPr>
            <w:tcW w:w="6236" w:type="dxa"/>
            <w:tcBorders>
              <w:bottom w:val="nil"/>
            </w:tcBorders>
          </w:tcPr>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4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c>
          <w:tcPr>
            <w:tcW w:w="454" w:type="dxa"/>
          </w:tcPr>
          <w:p>
            <w:pPr>
              <w:pStyle w:val="0"/>
              <w:jc w:val="center"/>
            </w:pPr>
            <w:r>
              <w:rPr>
                <w:sz w:val="20"/>
              </w:rPr>
              <w:t xml:space="preserve">3</w:t>
            </w:r>
          </w:p>
        </w:tc>
        <w:tc>
          <w:tcPr>
            <w:tcW w:w="2324" w:type="dxa"/>
          </w:tcPr>
          <w:p>
            <w:pPr>
              <w:pStyle w:val="0"/>
            </w:pPr>
            <w:r>
              <w:rPr>
                <w:sz w:val="20"/>
              </w:rPr>
              <w:t xml:space="preserve">Цель подпрограммы 5</w:t>
            </w:r>
          </w:p>
        </w:tc>
        <w:tc>
          <w:tcPr>
            <w:tcW w:w="6236" w:type="dxa"/>
          </w:tcPr>
          <w:p>
            <w:pPr>
              <w:pStyle w:val="0"/>
              <w:jc w:val="both"/>
            </w:pPr>
            <w:r>
              <w:rPr>
                <w:sz w:val="20"/>
              </w:rPr>
              <w:t xml:space="preserve">Развитие рыболовства на основе сохранения, воспроизводства и рационального использования водных биологических ресурсов области</w:t>
            </w:r>
          </w:p>
        </w:tc>
      </w:tr>
      <w:tr>
        <w:tc>
          <w:tcPr>
            <w:tcW w:w="454" w:type="dxa"/>
          </w:tcPr>
          <w:p>
            <w:pPr>
              <w:pStyle w:val="0"/>
              <w:jc w:val="center"/>
            </w:pPr>
            <w:r>
              <w:rPr>
                <w:sz w:val="20"/>
              </w:rPr>
              <w:t xml:space="preserve">4</w:t>
            </w:r>
          </w:p>
        </w:tc>
        <w:tc>
          <w:tcPr>
            <w:tcW w:w="2324" w:type="dxa"/>
          </w:tcPr>
          <w:p>
            <w:pPr>
              <w:pStyle w:val="0"/>
            </w:pPr>
            <w:r>
              <w:rPr>
                <w:sz w:val="20"/>
              </w:rPr>
              <w:t xml:space="preserve">Задачи подпрограммы 5</w:t>
            </w:r>
          </w:p>
        </w:tc>
        <w:tc>
          <w:tcPr>
            <w:tcW w:w="6236" w:type="dxa"/>
          </w:tcPr>
          <w:p>
            <w:pPr>
              <w:pStyle w:val="0"/>
              <w:jc w:val="both"/>
            </w:pPr>
            <w:r>
              <w:rPr>
                <w:sz w:val="20"/>
              </w:rPr>
              <w:t xml:space="preserve">1. Создание условий жителям области для реализации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w:t>
            </w:r>
          </w:p>
          <w:p>
            <w:pPr>
              <w:pStyle w:val="0"/>
              <w:jc w:val="both"/>
            </w:pPr>
            <w:r>
              <w:rPr>
                <w:sz w:val="20"/>
              </w:rPr>
              <w:t xml:space="preserve">2.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w:t>
            </w:r>
          </w:p>
        </w:tc>
      </w:tr>
      <w:tr>
        <w:tc>
          <w:tcPr>
            <w:tcW w:w="454" w:type="dxa"/>
          </w:tcPr>
          <w:p>
            <w:pPr>
              <w:pStyle w:val="0"/>
              <w:jc w:val="center"/>
            </w:pPr>
            <w:r>
              <w:rPr>
                <w:sz w:val="20"/>
              </w:rPr>
              <w:t xml:space="preserve">5</w:t>
            </w:r>
          </w:p>
        </w:tc>
        <w:tc>
          <w:tcPr>
            <w:tcW w:w="2324" w:type="dxa"/>
          </w:tcPr>
          <w:p>
            <w:pPr>
              <w:pStyle w:val="0"/>
            </w:pPr>
            <w:r>
              <w:rPr>
                <w:sz w:val="20"/>
              </w:rPr>
              <w:t xml:space="preserve">Сроки и этапы реализации подпрограммы 5</w:t>
            </w:r>
          </w:p>
        </w:tc>
        <w:tc>
          <w:tcPr>
            <w:tcW w:w="6236" w:type="dxa"/>
          </w:tcPr>
          <w:p>
            <w:pPr>
              <w:pStyle w:val="0"/>
              <w:jc w:val="both"/>
            </w:pPr>
            <w:r>
              <w:rPr>
                <w:sz w:val="20"/>
              </w:rPr>
              <w:t xml:space="preserve">Реализация подпрограммы 5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Объем бюджетных ассигнований подпрограммы 5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236" w:type="dxa"/>
            <w:tcBorders>
              <w:bottom w:val="nil"/>
            </w:tcBorders>
          </w:tcPr>
          <w:p>
            <w:pPr>
              <w:pStyle w:val="0"/>
              <w:jc w:val="both"/>
            </w:pPr>
            <w:r>
              <w:rPr>
                <w:sz w:val="20"/>
              </w:rPr>
              <w:t xml:space="preserve">Общий объем бюджетных ассигнований подпрограммы 5 в 2014 - 2025 годах - 1973,8 тыс. рублей, в том числе:</w:t>
            </w:r>
          </w:p>
          <w:p>
            <w:pPr>
              <w:pStyle w:val="0"/>
              <w:jc w:val="both"/>
            </w:pPr>
            <w:r>
              <w:rPr>
                <w:sz w:val="20"/>
              </w:rPr>
              <w:t xml:space="preserve">за счет средств федерального бюджета - 389,8 тыс. рублей;</w:t>
            </w:r>
          </w:p>
          <w:p>
            <w:pPr>
              <w:pStyle w:val="0"/>
              <w:jc w:val="both"/>
            </w:pPr>
            <w:r>
              <w:rPr>
                <w:sz w:val="20"/>
              </w:rPr>
              <w:t xml:space="preserve">за счет средств областного бюджета - 1584,0 тыс. рублей;</w:t>
            </w:r>
          </w:p>
          <w:p>
            <w:pPr>
              <w:pStyle w:val="0"/>
              <w:jc w:val="both"/>
            </w:pPr>
            <w:r>
              <w:rPr>
                <w:sz w:val="20"/>
              </w:rPr>
              <w:t xml:space="preserve">в том числе по годам:</w:t>
            </w:r>
          </w:p>
          <w:p>
            <w:pPr>
              <w:pStyle w:val="0"/>
              <w:jc w:val="both"/>
            </w:pPr>
            <w:r>
              <w:rPr>
                <w:sz w:val="20"/>
              </w:rPr>
              <w:t xml:space="preserve">2014 год - 240,0 тыс. рублей;</w:t>
            </w:r>
          </w:p>
          <w:p>
            <w:pPr>
              <w:pStyle w:val="0"/>
              <w:jc w:val="both"/>
            </w:pPr>
            <w:r>
              <w:rPr>
                <w:sz w:val="20"/>
              </w:rPr>
              <w:t xml:space="preserve">2015 год - 240,0 тыс. рублей;</w:t>
            </w:r>
          </w:p>
          <w:p>
            <w:pPr>
              <w:pStyle w:val="0"/>
              <w:jc w:val="both"/>
            </w:pPr>
            <w:r>
              <w:rPr>
                <w:sz w:val="20"/>
              </w:rPr>
              <w:t xml:space="preserve">2016 год - 240,0 тыс. рублей;</w:t>
            </w:r>
          </w:p>
          <w:p>
            <w:pPr>
              <w:pStyle w:val="0"/>
              <w:jc w:val="both"/>
            </w:pPr>
            <w:r>
              <w:rPr>
                <w:sz w:val="20"/>
              </w:rPr>
              <w:t xml:space="preserve">2017 год - 96,0 тыс. рублей;</w:t>
            </w:r>
          </w:p>
          <w:p>
            <w:pPr>
              <w:pStyle w:val="0"/>
              <w:jc w:val="both"/>
            </w:pPr>
            <w:r>
              <w:rPr>
                <w:sz w:val="20"/>
              </w:rPr>
              <w:t xml:space="preserve">2018 год - 96,0 тыс. рублей;</w:t>
            </w:r>
          </w:p>
          <w:p>
            <w:pPr>
              <w:pStyle w:val="0"/>
              <w:jc w:val="both"/>
            </w:pPr>
            <w:r>
              <w:rPr>
                <w:sz w:val="20"/>
              </w:rPr>
              <w:t xml:space="preserve">2019 год - 96,0 тыс. рублей;</w:t>
            </w:r>
          </w:p>
          <w:p>
            <w:pPr>
              <w:pStyle w:val="0"/>
              <w:jc w:val="both"/>
            </w:pPr>
            <w:r>
              <w:rPr>
                <w:sz w:val="20"/>
              </w:rPr>
              <w:t xml:space="preserve">2020 год - 96,0 тыс. рублей;</w:t>
            </w:r>
          </w:p>
          <w:p>
            <w:pPr>
              <w:pStyle w:val="0"/>
              <w:jc w:val="both"/>
            </w:pPr>
            <w:r>
              <w:rPr>
                <w:sz w:val="20"/>
              </w:rPr>
              <w:t xml:space="preserve">2021 год - 96,0 тыс. рублей;</w:t>
            </w:r>
          </w:p>
          <w:p>
            <w:pPr>
              <w:pStyle w:val="0"/>
              <w:jc w:val="both"/>
            </w:pPr>
            <w:r>
              <w:rPr>
                <w:sz w:val="20"/>
              </w:rPr>
              <w:t xml:space="preserve">2022 год - 96,0 тыс. рублей;</w:t>
            </w:r>
          </w:p>
          <w:p>
            <w:pPr>
              <w:pStyle w:val="0"/>
              <w:jc w:val="both"/>
            </w:pPr>
            <w:r>
              <w:rPr>
                <w:sz w:val="20"/>
              </w:rPr>
              <w:t xml:space="preserve">2023 год - 96,0 тыс. рублей;</w:t>
            </w:r>
          </w:p>
          <w:p>
            <w:pPr>
              <w:pStyle w:val="0"/>
              <w:jc w:val="both"/>
            </w:pPr>
            <w:r>
              <w:rPr>
                <w:sz w:val="20"/>
              </w:rPr>
              <w:t xml:space="preserve">2024 год - 96,0 тыс. рублей;</w:t>
            </w:r>
          </w:p>
          <w:p>
            <w:pPr>
              <w:pStyle w:val="0"/>
              <w:jc w:val="both"/>
            </w:pPr>
            <w:r>
              <w:rPr>
                <w:sz w:val="20"/>
              </w:rPr>
              <w:t xml:space="preserve">2025 год - 96,0 тыс.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14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7</w:t>
            </w:r>
          </w:p>
        </w:tc>
        <w:tc>
          <w:tcPr>
            <w:tcW w:w="2324" w:type="dxa"/>
          </w:tcPr>
          <w:p>
            <w:pPr>
              <w:pStyle w:val="0"/>
            </w:pPr>
            <w:r>
              <w:rPr>
                <w:sz w:val="20"/>
              </w:rPr>
              <w:t xml:space="preserve">Конечные результаты реализации подпрограммы 5</w:t>
            </w:r>
          </w:p>
        </w:tc>
        <w:tc>
          <w:tcPr>
            <w:tcW w:w="6236" w:type="dxa"/>
          </w:tcPr>
          <w:p>
            <w:pPr>
              <w:pStyle w:val="0"/>
              <w:jc w:val="both"/>
            </w:pPr>
            <w:r>
              <w:rPr>
                <w:sz w:val="20"/>
              </w:rPr>
              <w:t xml:space="preserve">Планируется:</w:t>
            </w:r>
          </w:p>
          <w:p>
            <w:pPr>
              <w:pStyle w:val="0"/>
              <w:jc w:val="both"/>
            </w:pPr>
            <w:r>
              <w:rPr>
                <w:sz w:val="20"/>
              </w:rPr>
              <w:t xml:space="preserve">Увеличение среднего вылова одного рыболова за один выезд до 3,41 кг к 2025 году</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5,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Рыболовство было и остается одним из самых массовых увлечений жителей области, связанных с активным отдыхом на природе. Рыбы составляют основной вид водных биоресурсов, используемых для целей личного потребления и рекреации. Разнообразие видового состава ихтиофауны зависит от особенностей водоемов, их проточности и площади акватории. По экспертным оценкам, активным рыболовством занимается более 140 тысяч жителей нашей области.</w:t>
      </w:r>
    </w:p>
    <w:p>
      <w:pPr>
        <w:pStyle w:val="0"/>
        <w:spacing w:before="200" w:line-rule="auto"/>
        <w:ind w:firstLine="540"/>
        <w:jc w:val="both"/>
      </w:pPr>
      <w:r>
        <w:rPr>
          <w:sz w:val="20"/>
        </w:rPr>
        <w:t xml:space="preserve">На территории области находится 575 водотоков и 783 водоема рыбохозяйственного значения, которые являются средой обитания более 1000 видов (подвидов) водных биоресурсов. В Красную книгу Российской Федерации и Красную книгу Белгородской области занесены представители 1 8 видов круглоротых и костных рыб, 1 вид двустворчатых моллюсков, 2 вида пиявок, 2 вида насекомых, 2 вида ракообразных, 1 вид земноводных, 2 вида пресмыкающихся и 5 видов водных растений. Водные объекты области являются средой обитания 9 семейств пресноводных рыб, которые представлены 39 видами рыб, из них 7 видов относятся к непромысловым видам из-за своих очень мелких размеров.</w:t>
      </w:r>
    </w:p>
    <w:p>
      <w:pPr>
        <w:pStyle w:val="0"/>
        <w:spacing w:before="200" w:line-rule="auto"/>
        <w:ind w:firstLine="540"/>
        <w:jc w:val="both"/>
      </w:pPr>
      <w:r>
        <w:rPr>
          <w:sz w:val="20"/>
        </w:rPr>
        <w:t xml:space="preserve">По результатам проведенных в 2012 - 2013 годах научных исследований по изучению видового разнообразия ихтиофауны водоемов области и мониторинга состояния водных биологических ресурсов отмечено, что 8 видов рыб в уловах уже не встречаются, 6 видов рыб встречаются редко, а 13 видов рыб встречаются в уловах повсеместно. В настоящее время в водоемах области фактически обитает 29 видов рыб. Наиболее разнообразен видовой состав ихтиофауны водоемов Алексеевского, Белгородского, Валуйского, Вейделевского, Старооскольского и Шебекинского районов. Малочисленный видовой состав в водоемах Краснояружского и Прохоровского районов. На водоемах области имеется 96 основных нерестовых участков и 70 основных зимовальных ям рыбы.</w:t>
      </w:r>
    </w:p>
    <w:p>
      <w:pPr>
        <w:pStyle w:val="0"/>
        <w:spacing w:before="200" w:line-rule="auto"/>
        <w:ind w:firstLine="540"/>
        <w:jc w:val="both"/>
      </w:pPr>
      <w:r>
        <w:rPr>
          <w:sz w:val="20"/>
        </w:rPr>
        <w:t xml:space="preserve">В ходе реализации долгосрочной целевой программы "Организация и развитие любительского и спортивного рыболовства на территории Белгородской области на 2010 - 2013 годы" на региональном и местном уровнях созданы условия для развития рыболовно-рекреационной деятельности на водных объектах области, сохранения и воспроизводства водных биоресурсов на территории области, в том числе редких и находящихся под угрозой исчезновения видов водных биоресурсов, увеличения численности ценных видов рыб, развития рыболовного спорта и рыболовного туризма, повышения уровня экологических знаний и культуры рыболовства населения области.</w:t>
      </w:r>
    </w:p>
    <w:p>
      <w:pPr>
        <w:pStyle w:val="0"/>
        <w:spacing w:before="200" w:line-rule="auto"/>
        <w:ind w:firstLine="540"/>
        <w:jc w:val="both"/>
      </w:pPr>
      <w:r>
        <w:rPr>
          <w:sz w:val="20"/>
        </w:rPr>
        <w:t xml:space="preserve">Основной базой реализации мероприятий подпрограммы 5 являются водные объекты, используемые рыбными хозяйствами области для организации любительского и спортивного рыболовства, а также организуемые в ходе реализации проекта "Зеленая столица" зоны рекреации местного значения. На 193 водных объектах проведены работы по созданию комфортных и безопасных условий для развития организованного рыболовства, развитию инфраструктуры и сферы услуг для любительского и спортивного вылова рыбы. На 84 водоемах уже имеется или совершенствуется соответствующая инфраструктура (стационарные архитектурные сооружения) для рыболовного туризма с оказанием услуг по водной рекреации. Начал развиваться рыболовный спорт, которым все больше увлекается молодежь и подростки. Впервые за последние 30 лет в 15 муниципальных образованиях области на 32 водных объектах общего пользования проведены комплексные научные исследования по уточнению видового состава ихтиофауны, гидрохимического состояния среды обитания рыб и других водных биоресурсов. Получены научно обоснованные рекомендации по реконструкции ихтиофауны, пополнению запасов водных биоресурсов области, по оптимальной антропогенной нагрузке и возможным объемам любительского вылова водных биоресурсов. Для сохранения и воспроизводства водных биоресурсов, в том числе редких и находящихся под угрозой исчезновения видов, на 14 водных объектах проведено научно обоснованное зарыбление различными видами рыб общим весом 26,2 тонны, в том числе рыбопосадочным материалом редких и исчезающих видов - 6,9 тонны. На 26 водных объектах выпущено 61,8 тонны растительноядных и хищных видов рыб.</w:t>
      </w:r>
    </w:p>
    <w:p>
      <w:pPr>
        <w:pStyle w:val="0"/>
        <w:spacing w:before="200" w:line-rule="auto"/>
        <w:ind w:firstLine="540"/>
        <w:jc w:val="both"/>
      </w:pPr>
      <w:r>
        <w:rPr>
          <w:sz w:val="20"/>
        </w:rPr>
        <w:t xml:space="preserve">Разработаны и реализованы проекты по воспроизводству ценных, редких и находящихся под угрозой исчезновения видов рыб, рыбохозяйственному мониторингу с применением современных геоинформационных технологий.</w:t>
      </w:r>
    </w:p>
    <w:p>
      <w:pPr>
        <w:pStyle w:val="0"/>
        <w:jc w:val="both"/>
      </w:pPr>
      <w:r>
        <w:rPr>
          <w:sz w:val="20"/>
        </w:rPr>
        <w:t xml:space="preserve">(в ред. </w:t>
      </w:r>
      <w:hyperlink w:history="0" r:id="rId15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Возобновлен мониторинг состояния водных биологических ресурсов и среды их обитания. Ежегодно проводятся учеты посещаемости водных объектов рыболовами и их социологический опрос. Проведены работы по формированию базы данных регионального рыбохозяйственного реестра. В целях проведения единой политики деятельности рыболовных хозяйств и осуществления рыболовства на водных объектах в работе с хозяйствующими субъектами и рыболовами используются такие формы, как проведение круглых столов, общественных слушаний, лекций и методических занятий, а также подготовка методических материалов, памяток, плакатов и буклетов.</w:t>
      </w:r>
    </w:p>
    <w:p>
      <w:pPr>
        <w:pStyle w:val="0"/>
        <w:jc w:val="both"/>
      </w:pPr>
      <w:r>
        <w:rPr>
          <w:sz w:val="20"/>
        </w:rPr>
        <w:t xml:space="preserve">(в ред. </w:t>
      </w:r>
      <w:hyperlink w:history="0" r:id="rId151"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Ежегодно проводятся спортивные соревнования по рыболовному спорту, культурно-спортивные мероприятия, творческие конкурсы и викторины для любителей рыбной ловли.</w:t>
      </w:r>
    </w:p>
    <w:p>
      <w:pPr>
        <w:pStyle w:val="0"/>
        <w:spacing w:before="200" w:line-rule="auto"/>
        <w:ind w:firstLine="540"/>
        <w:jc w:val="both"/>
      </w:pPr>
      <w:r>
        <w:rPr>
          <w:sz w:val="20"/>
        </w:rPr>
        <w:t xml:space="preserve">Промысловый лов рыбы на территории области в последние десятилетия не велся. По результатам реализации мероприятий долгосрочной целевой </w:t>
      </w:r>
      <w:hyperlink w:history="0" r:id="rId152" w:tooltip="Постановление правительства Белгородской обл. от 31.05.2010 N 184-пп (ред. от 03.06.2013) &quot;Об утверждении долгосрочной целевой программы &quot;Организация и развитие любительского и спортивного рыболовства на территории Белгородской области на 2010 - 2013 годы&quot; {КонсультантПлюс}">
        <w:r>
          <w:rPr>
            <w:sz w:val="20"/>
            <w:color w:val="0000ff"/>
          </w:rPr>
          <w:t xml:space="preserve">программы</w:t>
        </w:r>
      </w:hyperlink>
      <w:r>
        <w:rPr>
          <w:sz w:val="20"/>
        </w:rPr>
        <w:t xml:space="preserve"> "Организация и развитие любительского и спортивного рыболовства на территории Белгородской области на 2010 - 2013 годы", утвержденной постановлением правительства Белгородской области от 13 мая 2010 года N 184-пп, в 2013 году Федеральным агентством по рыболовству даны рекомендации по объемам промышленного вылова таких видов рыб, как сазан, лещ, плотва, карась, густера, красноперка, судак, окунь, щука, в общем объеме 94,6 тонны.</w:t>
      </w:r>
    </w:p>
    <w:p>
      <w:pPr>
        <w:pStyle w:val="0"/>
        <w:spacing w:before="200" w:line-rule="auto"/>
        <w:ind w:firstLine="540"/>
        <w:jc w:val="both"/>
      </w:pPr>
      <w:r>
        <w:rPr>
          <w:sz w:val="20"/>
        </w:rPr>
        <w:t xml:space="preserve">В 2019 году средний вылов одного рыболова за один выезд увеличился на 67,5 процента и составил 3,5 кг (против 2,0 кг в 2010 году).</w:t>
      </w:r>
    </w:p>
    <w:p>
      <w:pPr>
        <w:pStyle w:val="0"/>
        <w:jc w:val="both"/>
      </w:pPr>
      <w:r>
        <w:rPr>
          <w:sz w:val="20"/>
        </w:rPr>
        <w:t xml:space="preserve">(в ред. </w:t>
      </w:r>
      <w:hyperlink w:history="0" r:id="rId15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Несмотря на достигнутые положительные тенденции функционирования и развития рыболовства, сохранения и воспроизводства различных видов рыб и других водных биоресурсов на водных объектах области, основными причинами, сдерживающими развитие любительского рыболовства в области, являются:</w:t>
      </w:r>
    </w:p>
    <w:p>
      <w:pPr>
        <w:pStyle w:val="0"/>
        <w:spacing w:before="200" w:line-rule="auto"/>
        <w:ind w:firstLine="540"/>
        <w:jc w:val="both"/>
      </w:pPr>
      <w:r>
        <w:rPr>
          <w:sz w:val="20"/>
        </w:rPr>
        <w:t xml:space="preserve">- несовершенство правовых механизмов по организации рыболовства на прудах и обводненных карьерах;</w:t>
      </w:r>
    </w:p>
    <w:p>
      <w:pPr>
        <w:pStyle w:val="0"/>
        <w:spacing w:before="200" w:line-rule="auto"/>
        <w:ind w:firstLine="540"/>
        <w:jc w:val="both"/>
      </w:pPr>
      <w:r>
        <w:rPr>
          <w:sz w:val="20"/>
        </w:rPr>
        <w:t xml:space="preserve">- недостаточно эффективная деятельность рыболовных хозяйств по использованию и сохранению видового разнообразия рыб и других водных биоресурсов, расширению услуг, оказываемых при организации любительского рыболовства, а также несоблюдение ими рыбохозяйственных требований и установление необоснованных ограничений рыболовства;</w:t>
      </w:r>
    </w:p>
    <w:p>
      <w:pPr>
        <w:pStyle w:val="0"/>
        <w:spacing w:before="200" w:line-rule="auto"/>
        <w:ind w:firstLine="540"/>
        <w:jc w:val="both"/>
      </w:pPr>
      <w:r>
        <w:rPr>
          <w:sz w:val="20"/>
        </w:rPr>
        <w:t xml:space="preserve">- недостаточно эффективная финансовая государственная поддержка охраны и воспроизводства ценных, редких и исчезающих видов рыб и других водных биоресурсов;</w:t>
      </w:r>
    </w:p>
    <w:p>
      <w:pPr>
        <w:pStyle w:val="0"/>
        <w:spacing w:before="200" w:line-rule="auto"/>
        <w:ind w:firstLine="540"/>
        <w:jc w:val="both"/>
      </w:pPr>
      <w:r>
        <w:rPr>
          <w:sz w:val="20"/>
        </w:rPr>
        <w:t xml:space="preserve">- недостаток результатов ресурсных и экосистемных научных исследований водных объектов области;</w:t>
      </w:r>
    </w:p>
    <w:p>
      <w:pPr>
        <w:pStyle w:val="0"/>
        <w:spacing w:before="200" w:line-rule="auto"/>
        <w:ind w:firstLine="540"/>
        <w:jc w:val="both"/>
      </w:pPr>
      <w:r>
        <w:rPr>
          <w:sz w:val="20"/>
        </w:rPr>
        <w:t xml:space="preserve">- нерегулируемая антропогенная нагрузка на водные биоресурсы;</w:t>
      </w:r>
    </w:p>
    <w:p>
      <w:pPr>
        <w:pStyle w:val="0"/>
        <w:spacing w:before="200" w:line-rule="auto"/>
        <w:ind w:firstLine="540"/>
        <w:jc w:val="both"/>
      </w:pPr>
      <w:r>
        <w:rPr>
          <w:sz w:val="20"/>
        </w:rPr>
        <w:t xml:space="preserve">- незаконный вылов водных биоресурсов;</w:t>
      </w:r>
    </w:p>
    <w:p>
      <w:pPr>
        <w:pStyle w:val="0"/>
        <w:spacing w:before="200" w:line-rule="auto"/>
        <w:ind w:firstLine="540"/>
        <w:jc w:val="both"/>
      </w:pPr>
      <w:r>
        <w:rPr>
          <w:sz w:val="20"/>
        </w:rPr>
        <w:t xml:space="preserve">- сокращение естественных популяций рыб и других видов водных биоресурсов;</w:t>
      </w:r>
    </w:p>
    <w:p>
      <w:pPr>
        <w:pStyle w:val="0"/>
        <w:spacing w:before="200" w:line-rule="auto"/>
        <w:ind w:firstLine="540"/>
        <w:jc w:val="both"/>
      </w:pPr>
      <w:r>
        <w:rPr>
          <w:sz w:val="20"/>
        </w:rPr>
        <w:t xml:space="preserve">- недостаточная информационно-аналитическая поддержка рыболовства;</w:t>
      </w:r>
    </w:p>
    <w:p>
      <w:pPr>
        <w:pStyle w:val="0"/>
        <w:spacing w:before="200" w:line-rule="auto"/>
        <w:ind w:firstLine="540"/>
        <w:jc w:val="both"/>
      </w:pPr>
      <w:r>
        <w:rPr>
          <w:sz w:val="20"/>
        </w:rPr>
        <w:t xml:space="preserve">- недостаточно высокий уровень экологической культуры рыболовов и хозяйствующих субъектов.</w:t>
      </w:r>
    </w:p>
    <w:p>
      <w:pPr>
        <w:pStyle w:val="0"/>
        <w:spacing w:before="200" w:line-rule="auto"/>
        <w:ind w:firstLine="540"/>
        <w:jc w:val="both"/>
      </w:pPr>
      <w:r>
        <w:rPr>
          <w:sz w:val="20"/>
        </w:rPr>
        <w:t xml:space="preserve">Следствием этих проблем являются:</w:t>
      </w:r>
    </w:p>
    <w:p>
      <w:pPr>
        <w:pStyle w:val="0"/>
        <w:spacing w:before="200" w:line-rule="auto"/>
        <w:ind w:firstLine="540"/>
        <w:jc w:val="both"/>
      </w:pPr>
      <w:r>
        <w:rPr>
          <w:sz w:val="20"/>
        </w:rPr>
        <w:t xml:space="preserve">- неудовлетворенность граждан уловами при осуществлении рыболовства на водных объектах рыбохозяйственного значения области;</w:t>
      </w:r>
    </w:p>
    <w:p>
      <w:pPr>
        <w:pStyle w:val="0"/>
        <w:spacing w:before="200" w:line-rule="auto"/>
        <w:ind w:firstLine="540"/>
        <w:jc w:val="both"/>
      </w:pPr>
      <w:r>
        <w:rPr>
          <w:sz w:val="20"/>
        </w:rPr>
        <w:t xml:space="preserve">- низкий объем инвестиций в дальнейшее развитие рыболовства на водных объектах рыбохозяйственного значения области;</w:t>
      </w:r>
    </w:p>
    <w:p>
      <w:pPr>
        <w:pStyle w:val="0"/>
        <w:spacing w:before="200" w:line-rule="auto"/>
        <w:ind w:firstLine="540"/>
        <w:jc w:val="both"/>
      </w:pPr>
      <w:r>
        <w:rPr>
          <w:sz w:val="20"/>
        </w:rPr>
        <w:t xml:space="preserve">- снижение сырьевой базы для всех видов рыболовства на территории области.</w:t>
      </w:r>
    </w:p>
    <w:p>
      <w:pPr>
        <w:pStyle w:val="0"/>
        <w:spacing w:before="200" w:line-rule="auto"/>
        <w:ind w:firstLine="540"/>
        <w:jc w:val="both"/>
      </w:pPr>
      <w:r>
        <w:rPr>
          <w:sz w:val="20"/>
        </w:rPr>
        <w:t xml:space="preserve">Государственная политика в области рыболовства, охраны и использования водных биоресурсов заключается в создании условий жителям области для реализации своих конституционных прав, связанных с доступом к водным биоресурсам, и дальнейшем развитии на водоемах области рыболовных хозяйств с управляемой ихтиофауной, совершенствовании их деятельности по оказанию услуг в рыболовстве и рекреации; обеспечении сохранения и рационального использования водных биоресурсов при организации любительского рыболовства; повышении в потребительской корзине жителей области количества речной и прудовой рыбы.</w:t>
      </w:r>
    </w:p>
    <w:p>
      <w:pPr>
        <w:pStyle w:val="0"/>
        <w:spacing w:before="200" w:line-rule="auto"/>
        <w:ind w:firstLine="540"/>
        <w:jc w:val="both"/>
      </w:pPr>
      <w:r>
        <w:rPr>
          <w:sz w:val="20"/>
        </w:rPr>
        <w:t xml:space="preserve">В сфере рыбохозяйственного комплекса действуют следующие документы стратегического планирования:</w:t>
      </w:r>
    </w:p>
    <w:p>
      <w:pPr>
        <w:pStyle w:val="0"/>
        <w:spacing w:before="200" w:line-rule="auto"/>
        <w:ind w:firstLine="540"/>
        <w:jc w:val="both"/>
      </w:pPr>
      <w:r>
        <w:rPr>
          <w:sz w:val="20"/>
        </w:rPr>
        <w:t xml:space="preserve">1. </w:t>
      </w:r>
      <w:hyperlink w:history="0" r:id="rId154" w:tooltip="Указ Президента РФ от 30.01.2010 N 120 &quot;Об утверждении Доктрины продовольственной безопасности Российской Федерации&quot; ------------ Утратил силу или отменен {КонсультантПлюс}">
        <w:r>
          <w:rPr>
            <w:sz w:val="20"/>
            <w:color w:val="0000ff"/>
          </w:rPr>
          <w:t xml:space="preserve">Доктрина</w:t>
        </w:r>
      </w:hyperlink>
      <w:r>
        <w:rPr>
          <w:sz w:val="20"/>
        </w:rPr>
        <w:t xml:space="preserve"> продовольственной безопасности Российской Федерации, утвержденная Указом Президента Российской Федерации от 30 января 2010 года N 120.</w:t>
      </w:r>
    </w:p>
    <w:p>
      <w:pPr>
        <w:pStyle w:val="0"/>
        <w:spacing w:before="200" w:line-rule="auto"/>
        <w:ind w:firstLine="540"/>
        <w:jc w:val="both"/>
      </w:pPr>
      <w:r>
        <w:rPr>
          <w:sz w:val="20"/>
        </w:rPr>
        <w:t xml:space="preserve">2. </w:t>
      </w:r>
      <w:hyperlink w:history="0" r:id="rId155" w:tooltip="Распоряжение Правительства РФ от 17.11.2008 N 1662-р (ред. от 28.09.2018) &lt;О Концепции долгосрочного социально-экономического развития Российской Федерации на период до 2020 года&gt; (вместе с &quot;Концепцией долгосрочного социально-экономического развития Российской Федерации на период до 2020 года&quot;) {КонсультантПлюс}">
        <w:r>
          <w:rPr>
            <w:sz w:val="20"/>
            <w:color w:val="0000ff"/>
          </w:rPr>
          <w:t xml:space="preserve">Концепция</w:t>
        </w:r>
      </w:hyperlink>
      <w:r>
        <w:rPr>
          <w:sz w:val="20"/>
        </w:rP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N 1662-р.</w:t>
      </w:r>
    </w:p>
    <w:p>
      <w:pPr>
        <w:pStyle w:val="0"/>
        <w:spacing w:before="200" w:line-rule="auto"/>
        <w:ind w:firstLine="540"/>
        <w:jc w:val="both"/>
      </w:pPr>
      <w:r>
        <w:rPr>
          <w:sz w:val="20"/>
        </w:rPr>
        <w:t xml:space="preserve">3. Концепция развития рыбного хозяйства Российской Федерации на период до 2020 года, одобренная </w:t>
      </w:r>
      <w:hyperlink w:history="0" r:id="rId156" w:tooltip="Распоряжение Правительства РФ от 02.09.2003 N 1265-р (ред. от 21.07.2008) &lt;О Концепции развития рыбного хозяйства Российской Федерации на период до 2020 года&gt; {КонсультантПлюс}">
        <w:r>
          <w:rPr>
            <w:sz w:val="20"/>
            <w:color w:val="0000ff"/>
          </w:rPr>
          <w:t xml:space="preserve">распоряжением</w:t>
        </w:r>
      </w:hyperlink>
      <w:r>
        <w:rPr>
          <w:sz w:val="20"/>
        </w:rPr>
        <w:t xml:space="preserve"> Правительства Российской Федерации от 2 сентября 2003 года N 1265-р.</w:t>
      </w:r>
    </w:p>
    <w:p>
      <w:pPr>
        <w:pStyle w:val="0"/>
        <w:spacing w:before="200" w:line-rule="auto"/>
        <w:ind w:firstLine="540"/>
        <w:jc w:val="both"/>
      </w:pPr>
      <w:r>
        <w:rPr>
          <w:sz w:val="20"/>
        </w:rPr>
        <w:t xml:space="preserve">4. Стратегия развития аквакультуры в Российской Федерации на период до 2020 года, рассмотренная и одобренная на заседании секции Научно-технического совета Минсельхоза России по рыбохозяйственному комплексу (протокол от 15 марта 2007 г. N 12).</w:t>
      </w:r>
    </w:p>
    <w:p>
      <w:pPr>
        <w:pStyle w:val="0"/>
        <w:spacing w:before="200" w:line-rule="auto"/>
        <w:ind w:firstLine="540"/>
        <w:jc w:val="both"/>
      </w:pPr>
      <w:r>
        <w:rPr>
          <w:sz w:val="20"/>
        </w:rPr>
        <w:t xml:space="preserve">5. </w:t>
      </w:r>
      <w:hyperlink w:history="0" r:id="rId157" w:tooltip="Приказ Росрыболовства от 30.03.2009 N 246 &quot;Об утверждении Стратегии развития рыбохозяйственного комплекса Российской Федерации на период до 2020 года&quot; {КонсультантПлюс}">
        <w:r>
          <w:rPr>
            <w:sz w:val="20"/>
            <w:color w:val="0000ff"/>
          </w:rPr>
          <w:t xml:space="preserve">Стратегия</w:t>
        </w:r>
      </w:hyperlink>
      <w:r>
        <w:rPr>
          <w:sz w:val="20"/>
        </w:rPr>
        <w:t xml:space="preserve"> развития рыбохозяйственного комплекса Российской Федерации на период до 2020 года, утвержденная приказом Федерального агентства по рыболовству от 30 марта 2009 года N 246).</w:t>
      </w:r>
    </w:p>
    <w:p>
      <w:pPr>
        <w:pStyle w:val="0"/>
        <w:spacing w:before="200" w:line-rule="auto"/>
        <w:ind w:firstLine="540"/>
        <w:jc w:val="both"/>
      </w:pPr>
      <w:r>
        <w:rPr>
          <w:sz w:val="20"/>
        </w:rPr>
        <w:t xml:space="preserve">6. Государственная </w:t>
      </w:r>
      <w:hyperlink w:history="0" r:id="rId158" w:tooltip="Постановление Правительства РФ от 15.04.2014 N 314 (ред. от 22.06.2022) &quot;Об утверждении государственной программы Российской Федерации &quot;Развитие рыбохозяйственного комплекса&quot; {КонсультантПлюс}">
        <w:r>
          <w:rPr>
            <w:sz w:val="20"/>
            <w:color w:val="0000ff"/>
          </w:rPr>
          <w:t xml:space="preserve">программа</w:t>
        </w:r>
      </w:hyperlink>
      <w:r>
        <w:rPr>
          <w:sz w:val="20"/>
        </w:rPr>
        <w:t xml:space="preserve"> Российской Федерации "Развитие рыбохозяйственного комплекса", утвержденная постановлением Правительства Российской Федерации от 15 апреля 2014 года N 314.</w:t>
      </w:r>
    </w:p>
    <w:p>
      <w:pPr>
        <w:pStyle w:val="0"/>
        <w:spacing w:before="200" w:line-rule="auto"/>
        <w:ind w:firstLine="540"/>
        <w:jc w:val="both"/>
      </w:pPr>
      <w:r>
        <w:rPr>
          <w:sz w:val="20"/>
        </w:rPr>
        <w:t xml:space="preserve">7. </w:t>
      </w:r>
      <w:hyperlink w:history="0" r:id="rId159" w:tooltip="Постановление правительства Белгородской обл. от 25.01.2010 N 27-пп (ред. от 28.02.2022) &quot;Об утверждении Стратегии социально-экономического развития Белгородской области на период до 2025 года&quot; {КонсультантПлюс}">
        <w:r>
          <w:rPr>
            <w:sz w:val="20"/>
            <w:color w:val="0000ff"/>
          </w:rPr>
          <w:t xml:space="preserve">Стратегия</w:t>
        </w:r>
      </w:hyperlink>
      <w:r>
        <w:rPr>
          <w:sz w:val="20"/>
        </w:rPr>
        <w:t xml:space="preserve"> социально-экономического развития Белгородской области до 2025 года, утвержденная постановлением Правительства Белгородской области от 25 января 2010 года N 27-пп.</w:t>
      </w:r>
    </w:p>
    <w:p>
      <w:pPr>
        <w:pStyle w:val="0"/>
        <w:spacing w:before="200" w:line-rule="auto"/>
        <w:ind w:firstLine="540"/>
        <w:jc w:val="both"/>
      </w:pPr>
      <w:r>
        <w:rPr>
          <w:sz w:val="20"/>
        </w:rPr>
        <w:t xml:space="preserve">8. </w:t>
      </w:r>
      <w:hyperlink w:history="0" r:id="rId160" w:tooltip="Распоряжение Правительства Белгородской обл. от 18.02.2013 N 76-рп (ред. от 07.07.2015) &quot;Об утверждении Плана мероприятий Белгородской области по реализации Стратегии социально-экономического развития Центрального федерального округа на период до 2020 года&quot; {КонсультантПлюс}">
        <w:r>
          <w:rPr>
            <w:sz w:val="20"/>
            <w:color w:val="0000ff"/>
          </w:rPr>
          <w:t xml:space="preserve">План</w:t>
        </w:r>
      </w:hyperlink>
      <w:r>
        <w:rPr>
          <w:sz w:val="20"/>
        </w:rPr>
        <w:t xml:space="preserve"> мероприятий области по реализации Стратегии социально-экономического развития Центрального федерального округа на период до 2020 года, утвержденный распоряжением Правительства Белгородской области от 18 февраля 2013 года N 76-рп.</w:t>
      </w:r>
    </w:p>
    <w:p>
      <w:pPr>
        <w:pStyle w:val="0"/>
        <w:jc w:val="both"/>
      </w:pPr>
      <w:r>
        <w:rPr>
          <w:sz w:val="20"/>
        </w:rPr>
      </w:r>
    </w:p>
    <w:p>
      <w:pPr>
        <w:pStyle w:val="2"/>
        <w:outlineLvl w:val="2"/>
        <w:jc w:val="center"/>
      </w:pPr>
      <w:r>
        <w:rPr>
          <w:sz w:val="20"/>
        </w:rPr>
        <w:t xml:space="preserve">2. Цели, задачи, сроки и этапы реализации подпрограммы 5</w:t>
      </w:r>
    </w:p>
    <w:p>
      <w:pPr>
        <w:pStyle w:val="0"/>
        <w:jc w:val="both"/>
      </w:pPr>
      <w:r>
        <w:rPr>
          <w:sz w:val="20"/>
        </w:rPr>
      </w:r>
    </w:p>
    <w:p>
      <w:pPr>
        <w:pStyle w:val="0"/>
        <w:ind w:firstLine="540"/>
        <w:jc w:val="both"/>
      </w:pPr>
      <w:r>
        <w:rPr>
          <w:sz w:val="20"/>
        </w:rPr>
        <w:t xml:space="preserve">Целью подпрограммы 5 является развитие рыболовства на основе сохранения, воспроизводства и рационального использования водных биологических ресурсов области.</w:t>
      </w:r>
    </w:p>
    <w:p>
      <w:pPr>
        <w:pStyle w:val="0"/>
        <w:spacing w:before="200" w:line-rule="auto"/>
        <w:ind w:firstLine="540"/>
        <w:jc w:val="both"/>
      </w:pPr>
      <w:r>
        <w:rPr>
          <w:sz w:val="20"/>
        </w:rPr>
        <w:t xml:space="preserve">Задачами подпрограммы 5 являются:</w:t>
      </w:r>
    </w:p>
    <w:p>
      <w:pPr>
        <w:pStyle w:val="0"/>
        <w:spacing w:before="200" w:line-rule="auto"/>
        <w:ind w:firstLine="540"/>
        <w:jc w:val="both"/>
      </w:pPr>
      <w:r>
        <w:rPr>
          <w:sz w:val="20"/>
        </w:rPr>
        <w:t xml:space="preserve">1. Создание условий жителям области для реализации своих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w:t>
      </w:r>
    </w:p>
    <w:p>
      <w:pPr>
        <w:pStyle w:val="0"/>
        <w:spacing w:before="200" w:line-rule="auto"/>
        <w:ind w:firstLine="540"/>
        <w:jc w:val="both"/>
      </w:pPr>
      <w:r>
        <w:rPr>
          <w:sz w:val="20"/>
        </w:rPr>
        <w:t xml:space="preserve">2.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w:t>
      </w:r>
    </w:p>
    <w:p>
      <w:pPr>
        <w:pStyle w:val="0"/>
        <w:spacing w:before="200" w:line-rule="auto"/>
        <w:ind w:firstLine="540"/>
        <w:jc w:val="both"/>
      </w:pPr>
      <w:r>
        <w:rPr>
          <w:sz w:val="20"/>
        </w:rPr>
        <w:t xml:space="preserve">Реализация подпрограммы 5 осуществляется в два этапа: 1 - 2014 - 2020 годы;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5</w:t>
      </w:r>
    </w:p>
    <w:p>
      <w:pPr>
        <w:pStyle w:val="0"/>
        <w:jc w:val="both"/>
      </w:pPr>
      <w:r>
        <w:rPr>
          <w:sz w:val="20"/>
        </w:rPr>
      </w:r>
    </w:p>
    <w:p>
      <w:pPr>
        <w:pStyle w:val="0"/>
        <w:ind w:firstLine="540"/>
        <w:jc w:val="both"/>
      </w:pPr>
      <w:r>
        <w:rPr>
          <w:sz w:val="20"/>
        </w:rPr>
        <w:t xml:space="preserve">В рамках решения задачи 1 "Создание условий жителям области для реализации своих конституционных прав, связанных с доступом к водным биоресурсам, и дальнейшее развитие рыболовных хозяйств с управляемой ихтиофауной на водных объектах рыбохозяйственного значения области" будет реализовываться основное мероприятие 5.1 "Организация, регулирование и охрана водных биологических ресурсов на территории Белгородской области", включающее в себя следующий комплекс взаимосвязанных способов, мер и действий:</w:t>
      </w:r>
    </w:p>
    <w:p>
      <w:pPr>
        <w:pStyle w:val="0"/>
        <w:spacing w:before="200" w:line-rule="auto"/>
        <w:ind w:firstLine="540"/>
        <w:jc w:val="both"/>
      </w:pPr>
      <w:r>
        <w:rPr>
          <w:sz w:val="20"/>
        </w:rPr>
        <w:t xml:space="preserve">- формирование и использование рыболовных, рыбоводных и рыбопромысловых участков;</w:t>
      </w:r>
    </w:p>
    <w:p>
      <w:pPr>
        <w:pStyle w:val="0"/>
        <w:spacing w:before="200" w:line-rule="auto"/>
        <w:ind w:firstLine="540"/>
        <w:jc w:val="both"/>
      </w:pPr>
      <w:r>
        <w:rPr>
          <w:sz w:val="20"/>
        </w:rPr>
        <w:t xml:space="preserve">- оказание физическим и юридическим лицам государственных услуг, в том числе в электронной форме;</w:t>
      </w:r>
    </w:p>
    <w:p>
      <w:pPr>
        <w:pStyle w:val="0"/>
        <w:spacing w:before="200" w:line-rule="auto"/>
        <w:ind w:firstLine="540"/>
        <w:jc w:val="both"/>
      </w:pPr>
      <w:r>
        <w:rPr>
          <w:sz w:val="20"/>
        </w:rPr>
        <w:t xml:space="preserve">- бесперебойное функционирование и совершенствование информационной системы с применением современных геоинформационных технологий в сфере рыболовства;</w:t>
      </w:r>
    </w:p>
    <w:p>
      <w:pPr>
        <w:pStyle w:val="0"/>
        <w:spacing w:before="200" w:line-rule="auto"/>
        <w:ind w:firstLine="540"/>
        <w:jc w:val="both"/>
      </w:pPr>
      <w:r>
        <w:rPr>
          <w:sz w:val="20"/>
        </w:rPr>
        <w:t xml:space="preserve">- совершенствование правового регулирования любительского рыболовства на региональном уровне при определении правил и условий рыболовства;</w:t>
      </w:r>
    </w:p>
    <w:p>
      <w:pPr>
        <w:pStyle w:val="0"/>
        <w:spacing w:before="200" w:line-rule="auto"/>
        <w:ind w:firstLine="540"/>
        <w:jc w:val="both"/>
      </w:pPr>
      <w:r>
        <w:rPr>
          <w:sz w:val="20"/>
        </w:rPr>
        <w:t xml:space="preserve">- совершенствование и расширение видов рыболовно-рекреационных услуг; разработка и реализация проектов в сфере организации рыболовства и сохранения водных биоресурсов в рамках государственно-частного партнерства;</w:t>
      </w:r>
    </w:p>
    <w:p>
      <w:pPr>
        <w:pStyle w:val="0"/>
        <w:spacing w:before="200" w:line-rule="auto"/>
        <w:ind w:firstLine="540"/>
        <w:jc w:val="both"/>
      </w:pPr>
      <w:r>
        <w:rPr>
          <w:sz w:val="20"/>
        </w:rPr>
        <w:t xml:space="preserve">- разработка банка данных рыбоводно-биологических обоснований водоемов рыбохозяйственного значения для научно-технического обоснования инвестиций в прудовые хозяйства области;</w:t>
      </w:r>
    </w:p>
    <w:p>
      <w:pPr>
        <w:pStyle w:val="0"/>
        <w:spacing w:before="200" w:line-rule="auto"/>
        <w:ind w:firstLine="540"/>
        <w:jc w:val="both"/>
      </w:pPr>
      <w:r>
        <w:rPr>
          <w:sz w:val="20"/>
        </w:rPr>
        <w:t xml:space="preserve">- сдерживание незаконного вылова водных биоресурсов путем урегулирования вопроса учета вылова водных биоресурсов; совершенствование работы регионального рыбохозяйственного реестра и повышение эффективности его использования;</w:t>
      </w:r>
    </w:p>
    <w:p>
      <w:pPr>
        <w:pStyle w:val="0"/>
        <w:spacing w:before="200" w:line-rule="auto"/>
        <w:ind w:firstLine="540"/>
        <w:jc w:val="both"/>
      </w:pPr>
      <w:r>
        <w:rPr>
          <w:sz w:val="20"/>
        </w:rPr>
        <w:t xml:space="preserve">- выявление рыболовных хозяйств, недостаточно эффективно использующих сырьевую базу водоемов и оказывающих негативное воздействие на среду их обитания;</w:t>
      </w:r>
    </w:p>
    <w:p>
      <w:pPr>
        <w:pStyle w:val="0"/>
        <w:spacing w:before="200" w:line-rule="auto"/>
        <w:ind w:firstLine="540"/>
        <w:jc w:val="both"/>
      </w:pPr>
      <w:r>
        <w:rPr>
          <w:sz w:val="20"/>
        </w:rPr>
        <w:t xml:space="preserve">- разработка системы снижения рисков потери популяций водных биоресурсов при организации любительского рыболовства на водоемах с управляемой ихтиофауной;</w:t>
      </w:r>
    </w:p>
    <w:p>
      <w:pPr>
        <w:pStyle w:val="0"/>
        <w:spacing w:before="200" w:line-rule="auto"/>
        <w:ind w:firstLine="540"/>
        <w:jc w:val="both"/>
      </w:pPr>
      <w:r>
        <w:rPr>
          <w:sz w:val="20"/>
        </w:rPr>
        <w:t xml:space="preserve">- проведение рыбохозяйственных мероприятий, выполняемых органами государственной власти субъектов Российской Федерации в целях реализации переданных полномочий (</w:t>
      </w:r>
      <w:hyperlink w:history="0" r:id="rId161" w:tooltip="Приказ Минсельхоза России от 29.11.2019 N 664 &quot;Об утверждении формы отчета о проведенных рыбохозяйственных мероприятиях, источником финансового обеспечения которых являются субвенции, предоставляемые из федерального бюджета бюджетам субъектов Российской Федерации на реализацию полномочий в области организации, регулирования и охраны водных биологических ресурсов, и порядка его представления&quot; (Зарегистрировано в Минюсте России 20.12.2019 N 56932) {КонсультантПлюс}">
        <w:r>
          <w:rPr>
            <w:sz w:val="20"/>
            <w:color w:val="0000ff"/>
          </w:rPr>
          <w:t xml:space="preserve">Приказ</w:t>
        </w:r>
      </w:hyperlink>
      <w:r>
        <w:rPr>
          <w:sz w:val="20"/>
        </w:rPr>
        <w:t xml:space="preserve"> Министерства сельского хозяйства Российской Федерации от 29 ноября 2019 года N 664 "Об утверждении формы отчета о проведенных рыбохозяйственных мероприятиях, источником финансового обеспечения которых являются субвенции, предоставляемые из федерального бюджета бюджетам субъектов Российской Федерации на реализацию полномочий в области организации, регулирования и охраны водных биологических ресурсов, и порядка его представления"), в том числе:</w:t>
      </w:r>
    </w:p>
    <w:p>
      <w:pPr>
        <w:pStyle w:val="0"/>
        <w:jc w:val="both"/>
      </w:pPr>
      <w:r>
        <w:rPr>
          <w:sz w:val="20"/>
        </w:rPr>
        <w:t xml:space="preserve">(в ред. </w:t>
      </w:r>
      <w:hyperlink w:history="0" r:id="rId162"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 проведение рыбохозяйственной мелиорации водных объектов рыбохозяйственного значения;</w:t>
      </w:r>
    </w:p>
    <w:p>
      <w:pPr>
        <w:pStyle w:val="0"/>
        <w:spacing w:before="200" w:line-rule="auto"/>
        <w:ind w:firstLine="540"/>
        <w:jc w:val="both"/>
      </w:pPr>
      <w:r>
        <w:rPr>
          <w:sz w:val="20"/>
        </w:rPr>
        <w:t xml:space="preserve">- предотвращение загрязнения, засорения и заиления водных объектов рыбохозяйственного значения (участков водных объектов рыбохозяйственного значения);</w:t>
      </w:r>
    </w:p>
    <w:p>
      <w:pPr>
        <w:pStyle w:val="0"/>
        <w:spacing w:before="200" w:line-rule="auto"/>
        <w:ind w:firstLine="540"/>
        <w:jc w:val="both"/>
      </w:pPr>
      <w:r>
        <w:rPr>
          <w:sz w:val="20"/>
        </w:rPr>
        <w:t xml:space="preserve">- восстановление нарушенного состояния водных биоресурсов и среды их обитания в результате стихийных бедствий и по иным причинам;</w:t>
      </w:r>
    </w:p>
    <w:p>
      <w:pPr>
        <w:pStyle w:val="0"/>
        <w:spacing w:before="200" w:line-rule="auto"/>
        <w:ind w:firstLine="540"/>
        <w:jc w:val="both"/>
      </w:pPr>
      <w:r>
        <w:rPr>
          <w:sz w:val="20"/>
        </w:rPr>
        <w:t xml:space="preserve">- очистка береговой полосы водных объектов рыбохозяйственного значения от мусора;</w:t>
      </w:r>
    </w:p>
    <w:p>
      <w:pPr>
        <w:pStyle w:val="0"/>
        <w:spacing w:before="200" w:line-rule="auto"/>
        <w:ind w:firstLine="540"/>
        <w:jc w:val="both"/>
      </w:pPr>
      <w:r>
        <w:rPr>
          <w:sz w:val="20"/>
        </w:rPr>
        <w:t xml:space="preserve">- очистка водных объектов от брошенных орудий добычи (вылова);</w:t>
      </w:r>
    </w:p>
    <w:p>
      <w:pPr>
        <w:pStyle w:val="0"/>
        <w:spacing w:before="200" w:line-rule="auto"/>
        <w:ind w:firstLine="540"/>
        <w:jc w:val="both"/>
      </w:pPr>
      <w:r>
        <w:rPr>
          <w:sz w:val="20"/>
        </w:rPr>
        <w:t xml:space="preserve">- разработка рыбоводно-биологических обоснований;</w:t>
      </w:r>
    </w:p>
    <w:p>
      <w:pPr>
        <w:pStyle w:val="0"/>
        <w:spacing w:before="200" w:line-rule="auto"/>
        <w:ind w:firstLine="540"/>
        <w:jc w:val="both"/>
      </w:pPr>
      <w:r>
        <w:rPr>
          <w:sz w:val="20"/>
        </w:rPr>
        <w:t xml:space="preserve">- проведение разъяснительных работ в средствах массовой информации в части, касающейся рыболовства и сохранения водных биоресурсов;</w:t>
      </w:r>
    </w:p>
    <w:p>
      <w:pPr>
        <w:pStyle w:val="0"/>
        <w:spacing w:before="200" w:line-rule="auto"/>
        <w:ind w:firstLine="540"/>
        <w:jc w:val="both"/>
      </w:pPr>
      <w:r>
        <w:rPr>
          <w:sz w:val="20"/>
        </w:rPr>
        <w:t xml:space="preserve">- изготовление и установление знаков (аншлагов);</w:t>
      </w:r>
    </w:p>
    <w:p>
      <w:pPr>
        <w:pStyle w:val="0"/>
        <w:spacing w:before="200" w:line-rule="auto"/>
        <w:ind w:firstLine="540"/>
        <w:jc w:val="both"/>
      </w:pPr>
      <w:r>
        <w:rPr>
          <w:sz w:val="20"/>
        </w:rPr>
        <w:t xml:space="preserve">- определение границ рыбопромысловых участков;</w:t>
      </w:r>
    </w:p>
    <w:p>
      <w:pPr>
        <w:pStyle w:val="0"/>
        <w:spacing w:before="200" w:line-rule="auto"/>
        <w:ind w:firstLine="540"/>
        <w:jc w:val="both"/>
      </w:pPr>
      <w:r>
        <w:rPr>
          <w:sz w:val="20"/>
        </w:rPr>
        <w:t xml:space="preserve">- проведение конкурсов на право заключения договоров о предоставлении рыбопромысловых участков;</w:t>
      </w:r>
    </w:p>
    <w:p>
      <w:pPr>
        <w:pStyle w:val="0"/>
        <w:spacing w:before="200" w:line-rule="auto"/>
        <w:ind w:firstLine="540"/>
        <w:jc w:val="both"/>
      </w:pPr>
      <w:r>
        <w:rPr>
          <w:sz w:val="20"/>
        </w:rPr>
        <w:t xml:space="preserve">- опубликование в официальном печатном издании информации о проведении конкурсов на право заключения договоров о предоставлении рыбопромысловых участков.</w:t>
      </w:r>
    </w:p>
    <w:p>
      <w:pPr>
        <w:pStyle w:val="0"/>
        <w:spacing w:before="200" w:line-rule="auto"/>
        <w:ind w:firstLine="540"/>
        <w:jc w:val="both"/>
      </w:pPr>
      <w:r>
        <w:rPr>
          <w:sz w:val="20"/>
        </w:rPr>
        <w:t xml:space="preserve">В рамках решения задачи 2 "Сохранение ресурсно-сырьевой базы рыболовства, воспроизводство водных биоресурсов и создание условий для повышения эффективности вылова водных биоресурсов на водных объектах рыбохозяйственного значения области" будет реализовываться основное мероприятие 5.2 "Поддержка любительского рыболовства и охрана водных биоресурсов на территории Белгородской области", включающие в себя следующий комплекс взаимосвязанных способов, мер и действий:</w:t>
      </w:r>
    </w:p>
    <w:p>
      <w:pPr>
        <w:pStyle w:val="0"/>
        <w:spacing w:before="200" w:line-rule="auto"/>
        <w:ind w:firstLine="540"/>
        <w:jc w:val="both"/>
      </w:pPr>
      <w:r>
        <w:rPr>
          <w:sz w:val="20"/>
        </w:rPr>
        <w:t xml:space="preserve">- государственный мониторинг состояния водных биоресурсов и среды их обитания:</w:t>
      </w:r>
    </w:p>
    <w:p>
      <w:pPr>
        <w:pStyle w:val="0"/>
        <w:spacing w:before="200" w:line-rule="auto"/>
        <w:ind w:firstLine="540"/>
        <w:jc w:val="both"/>
      </w:pPr>
      <w:r>
        <w:rPr>
          <w:sz w:val="20"/>
        </w:rPr>
        <w:t xml:space="preserve">- проведение ресурсных и экосистемных научных исследований по изучению состояния водных биоресурсов и среды их обитания;</w:t>
      </w:r>
    </w:p>
    <w:p>
      <w:pPr>
        <w:pStyle w:val="0"/>
        <w:spacing w:before="200" w:line-rule="auto"/>
        <w:ind w:firstLine="540"/>
        <w:jc w:val="both"/>
      </w:pPr>
      <w:r>
        <w:rPr>
          <w:sz w:val="20"/>
        </w:rPr>
        <w:t xml:space="preserve">- проведение оценки воздействия любительского рыболовства на водные биоресурсы и среду их обитания;</w:t>
      </w:r>
    </w:p>
    <w:p>
      <w:pPr>
        <w:pStyle w:val="0"/>
        <w:spacing w:before="200" w:line-rule="auto"/>
        <w:ind w:firstLine="540"/>
        <w:jc w:val="both"/>
      </w:pPr>
      <w:r>
        <w:rPr>
          <w:sz w:val="20"/>
        </w:rPr>
        <w:t xml:space="preserve">- мониторинг состояния среды обитания водных биоресурсов, в том числе мест нереста и зимовки водных биоресурсов;</w:t>
      </w:r>
    </w:p>
    <w:p>
      <w:pPr>
        <w:pStyle w:val="0"/>
        <w:spacing w:before="200" w:line-rule="auto"/>
        <w:ind w:firstLine="540"/>
        <w:jc w:val="both"/>
      </w:pPr>
      <w:r>
        <w:rPr>
          <w:sz w:val="20"/>
        </w:rPr>
        <w:t xml:space="preserve">- проведение воспроизводственных мероприятий:</w:t>
      </w:r>
    </w:p>
    <w:p>
      <w:pPr>
        <w:pStyle w:val="0"/>
        <w:spacing w:before="200" w:line-rule="auto"/>
        <w:ind w:firstLine="540"/>
        <w:jc w:val="both"/>
      </w:pPr>
      <w:r>
        <w:rPr>
          <w:sz w:val="20"/>
        </w:rPr>
        <w:t xml:space="preserve">- выпуск в водоемы различных видов рыб;</w:t>
      </w:r>
    </w:p>
    <w:p>
      <w:pPr>
        <w:pStyle w:val="0"/>
        <w:spacing w:before="200" w:line-rule="auto"/>
        <w:ind w:firstLine="540"/>
        <w:jc w:val="both"/>
      </w:pPr>
      <w:r>
        <w:rPr>
          <w:sz w:val="20"/>
        </w:rPr>
        <w:t xml:space="preserve">- сохранение естественных и установки искусственных нерестилищ.</w:t>
      </w:r>
    </w:p>
    <w:p>
      <w:pPr>
        <w:pStyle w:val="0"/>
        <w:jc w:val="both"/>
      </w:pPr>
      <w:r>
        <w:rPr>
          <w:sz w:val="20"/>
        </w:rPr>
      </w:r>
    </w:p>
    <w:p>
      <w:pPr>
        <w:pStyle w:val="2"/>
        <w:outlineLvl w:val="2"/>
        <w:jc w:val="center"/>
      </w:pPr>
      <w:r>
        <w:rPr>
          <w:sz w:val="20"/>
        </w:rPr>
        <w:t xml:space="preserve">4. Прогноз конечных результатов подпрограммы 5.</w:t>
      </w:r>
    </w:p>
    <w:p>
      <w:pPr>
        <w:pStyle w:val="2"/>
        <w:jc w:val="center"/>
      </w:pPr>
      <w:r>
        <w:rPr>
          <w:sz w:val="20"/>
        </w:rPr>
        <w:t xml:space="preserve">Перечень показателей подпрограммы 5</w:t>
      </w:r>
    </w:p>
    <w:p>
      <w:pPr>
        <w:pStyle w:val="0"/>
        <w:jc w:val="both"/>
      </w:pPr>
      <w:r>
        <w:rPr>
          <w:sz w:val="20"/>
        </w:rPr>
      </w:r>
    </w:p>
    <w:p>
      <w:pPr>
        <w:pStyle w:val="0"/>
        <w:ind w:firstLine="540"/>
        <w:jc w:val="both"/>
      </w:pPr>
      <w:r>
        <w:rPr>
          <w:sz w:val="20"/>
        </w:rPr>
        <w:t xml:space="preserve">Основу сырьевой базы рыболовства составляет возобновляемый природный биологический ресурс водного происхождения области. От создания на водных объектах оптимальных условий размножения и обитания водных биоресурсов напрямую зависит перспектива долговременного использования их как возобновляемых природных ресурсов, удовлетворение потребности граждан в осуществлении рыболовства и насыщения потребительской корзины населения области рыбной продукцией. Реализация комплекса взаимосвязанных мероприятий направлена на достижение цели подпрограммы 5, а также на решение наиболее важных текущих и перспективных задач, обеспечивающих развитие на малых водоемах разветвленной сети культурных рыбных хозяйств с управляемой ихтиофауной, удовлетворение потребности населения области в рыболовстве, модернизации инфраструктуры и расширение видов оказываемых услуг в сфере рыболовства и рекреации, взаимное обеспечение законных прав и интересов хозяйствующих субъектов и граждан, сохранение и воспроизводство рыбных запасов водных объектов рыбохозяйственного значения и видового разнообразия, снижение негативного воздействия на водные биоресурсы и среду их обитания, сохранение рыбохозяйственной значимости водоемов, а также информационное обеспечение жителей области в сфере рыболовства.</w:t>
      </w:r>
    </w:p>
    <w:p>
      <w:pPr>
        <w:pStyle w:val="0"/>
        <w:spacing w:before="200" w:line-rule="auto"/>
        <w:ind w:firstLine="540"/>
        <w:jc w:val="both"/>
      </w:pPr>
      <w:r>
        <w:rPr>
          <w:sz w:val="20"/>
        </w:rPr>
        <w:t xml:space="preserve">Ожидаемый конечный результат реализации подпрограммных мероприятий будет отражать динамику индикатора уловов рыболовов на водных объектах рыбохозяйственного значения области. Средний вылов одного рыболова за один выезд увеличится к 2025 году на 6,25 процента (к уровню 2013 года) и составит 3,41 кг (против 3,2 кг в 2013 году).</w:t>
      </w:r>
    </w:p>
    <w:p>
      <w:pPr>
        <w:pStyle w:val="0"/>
        <w:spacing w:before="200" w:line-rule="auto"/>
        <w:ind w:firstLine="540"/>
        <w:jc w:val="both"/>
      </w:pPr>
      <w:r>
        <w:rPr>
          <w:sz w:val="20"/>
        </w:rPr>
        <w:t xml:space="preserve">Показатель увязан со стратегическими документами, утвержденными Президентом Российской Федерации, Правительством Российской Федерации, Белгородской области и действующими в сфере рыбохозяйственного комплекса.</w:t>
      </w:r>
    </w:p>
    <w:p>
      <w:pPr>
        <w:pStyle w:val="0"/>
        <w:spacing w:before="200" w:line-rule="auto"/>
        <w:ind w:firstLine="540"/>
        <w:jc w:val="both"/>
      </w:pPr>
      <w:r>
        <w:rPr>
          <w:sz w:val="20"/>
        </w:rPr>
        <w:t xml:space="preserve">Показатель носит открытый характер и предусматривает возможность корректировки в случаях потери информативности показателя (достижение максимального значения или насыщения),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рыбохозяйственного комплекса области и обеспечение граждан речной и прудовой рыбой.</w:t>
      </w:r>
    </w:p>
    <w:p>
      <w:pPr>
        <w:pStyle w:val="0"/>
        <w:jc w:val="both"/>
      </w:pPr>
      <w:r>
        <w:rPr>
          <w:sz w:val="20"/>
        </w:rPr>
      </w:r>
    </w:p>
    <w:p>
      <w:pPr>
        <w:pStyle w:val="2"/>
        <w:outlineLvl w:val="3"/>
        <w:jc w:val="center"/>
      </w:pPr>
      <w:r>
        <w:rPr>
          <w:sz w:val="20"/>
        </w:rPr>
        <w:t xml:space="preserve">Форма расчета эффективности мероприятий подпрограммы 5</w:t>
      </w:r>
    </w:p>
    <w:p>
      <w:pPr>
        <w:pStyle w:val="0"/>
        <w:jc w:val="both"/>
      </w:pPr>
      <w:r>
        <w:rPr>
          <w:sz w:val="20"/>
        </w:rPr>
      </w:r>
    </w:p>
    <w:p>
      <w:pPr>
        <w:pStyle w:val="0"/>
        <w:jc w:val="right"/>
      </w:pPr>
      <w:r>
        <w:rPr>
          <w:sz w:val="20"/>
        </w:rPr>
        <w:t xml:space="preserve">Таблица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849"/>
        <w:gridCol w:w="1849"/>
        <w:gridCol w:w="1849"/>
        <w:gridCol w:w="1849"/>
      </w:tblGrid>
      <w:tr>
        <w:tc>
          <w:tcPr>
            <w:tcW w:w="1644" w:type="dxa"/>
            <w:vMerge w:val="restart"/>
          </w:tcPr>
          <w:p>
            <w:pPr>
              <w:pStyle w:val="0"/>
              <w:jc w:val="center"/>
            </w:pPr>
            <w:r>
              <w:rPr>
                <w:sz w:val="20"/>
              </w:rPr>
              <w:t xml:space="preserve">Достижение запланированного показателя</w:t>
            </w:r>
          </w:p>
        </w:tc>
        <w:tc>
          <w:tcPr>
            <w:gridSpan w:val="2"/>
            <w:tcW w:w="3698" w:type="dxa"/>
          </w:tcPr>
          <w:p>
            <w:pPr>
              <w:pStyle w:val="0"/>
              <w:jc w:val="center"/>
            </w:pPr>
            <w:r>
              <w:rPr>
                <w:sz w:val="20"/>
              </w:rPr>
              <w:t xml:space="preserve">1-й год</w:t>
            </w:r>
          </w:p>
        </w:tc>
        <w:tc>
          <w:tcPr>
            <w:gridSpan w:val="2"/>
            <w:tcW w:w="3698" w:type="dxa"/>
          </w:tcPr>
          <w:p>
            <w:pPr>
              <w:pStyle w:val="0"/>
              <w:jc w:val="center"/>
            </w:pPr>
            <w:r>
              <w:rPr>
                <w:sz w:val="20"/>
              </w:rPr>
              <w:t xml:space="preserve">(1 + 1) год</w:t>
            </w:r>
          </w:p>
        </w:tc>
      </w:tr>
      <w:tr>
        <w:tc>
          <w:tcPr>
            <w:vMerge w:val="continue"/>
          </w:tcPr>
          <w:p/>
        </w:tc>
        <w:tc>
          <w:tcPr>
            <w:tcW w:w="1849" w:type="dxa"/>
          </w:tcPr>
          <w:p>
            <w:pPr>
              <w:pStyle w:val="0"/>
              <w:jc w:val="center"/>
            </w:pPr>
            <w:r>
              <w:rPr>
                <w:sz w:val="20"/>
              </w:rPr>
              <w:t xml:space="preserve">без учета фактического финансирования</w:t>
            </w:r>
          </w:p>
        </w:tc>
        <w:tc>
          <w:tcPr>
            <w:tcW w:w="1849" w:type="dxa"/>
          </w:tcPr>
          <w:p>
            <w:pPr>
              <w:pStyle w:val="0"/>
              <w:jc w:val="center"/>
            </w:pPr>
            <w:r>
              <w:rPr>
                <w:sz w:val="20"/>
              </w:rPr>
              <w:t xml:space="preserve">с учетом фактического финансирования</w:t>
            </w:r>
          </w:p>
        </w:tc>
        <w:tc>
          <w:tcPr>
            <w:tcW w:w="1849" w:type="dxa"/>
          </w:tcPr>
          <w:p>
            <w:pPr>
              <w:pStyle w:val="0"/>
              <w:jc w:val="center"/>
            </w:pPr>
            <w:r>
              <w:rPr>
                <w:sz w:val="20"/>
              </w:rPr>
              <w:t xml:space="preserve">без учета фактического финансирования</w:t>
            </w:r>
          </w:p>
        </w:tc>
        <w:tc>
          <w:tcPr>
            <w:tcW w:w="1849" w:type="dxa"/>
          </w:tcPr>
          <w:p>
            <w:pPr>
              <w:pStyle w:val="0"/>
              <w:jc w:val="center"/>
            </w:pPr>
            <w:r>
              <w:rPr>
                <w:sz w:val="20"/>
              </w:rPr>
              <w:t xml:space="preserve">с учетом фактического финансирования</w:t>
            </w:r>
          </w:p>
        </w:tc>
      </w:tr>
      <w:tr>
        <w:tc>
          <w:tcPr>
            <w:vMerge w:val="continue"/>
          </w:tcPr>
          <w:p/>
        </w:tc>
        <w:tc>
          <w:tcPr>
            <w:tcW w:w="1849" w:type="dxa"/>
          </w:tcPr>
          <w:p>
            <w:pPr>
              <w:pStyle w:val="0"/>
              <w:jc w:val="center"/>
            </w:pPr>
            <w:r>
              <w:rPr>
                <w:sz w:val="20"/>
              </w:rPr>
              <w:t xml:space="preserve">3,2</w:t>
            </w:r>
          </w:p>
        </w:tc>
        <w:tc>
          <w:tcPr>
            <w:tcW w:w="1849" w:type="dxa"/>
          </w:tcPr>
          <w:p>
            <w:pPr>
              <w:pStyle w:val="0"/>
              <w:jc w:val="center"/>
            </w:pPr>
            <w:r>
              <w:rPr>
                <w:sz w:val="20"/>
              </w:rPr>
              <w:t xml:space="preserve">3,22</w:t>
            </w:r>
          </w:p>
        </w:tc>
        <w:tc>
          <w:tcPr>
            <w:tcW w:w="1849" w:type="dxa"/>
          </w:tcPr>
          <w:p>
            <w:pPr>
              <w:pStyle w:val="0"/>
              <w:jc w:val="center"/>
            </w:pPr>
            <w:r>
              <w:rPr>
                <w:sz w:val="20"/>
              </w:rPr>
              <w:t xml:space="preserve">3,2</w:t>
            </w:r>
          </w:p>
        </w:tc>
        <w:tc>
          <w:tcPr>
            <w:tcW w:w="1849" w:type="dxa"/>
          </w:tcPr>
          <w:p>
            <w:pPr>
              <w:pStyle w:val="0"/>
              <w:jc w:val="center"/>
            </w:pPr>
            <w:r>
              <w:rPr>
                <w:sz w:val="20"/>
              </w:rPr>
              <w:t xml:space="preserve">3,25</w:t>
            </w:r>
          </w:p>
        </w:tc>
      </w:tr>
    </w:tbl>
    <w:p>
      <w:pPr>
        <w:pStyle w:val="0"/>
        <w:jc w:val="both"/>
      </w:pPr>
      <w:r>
        <w:rPr>
          <w:sz w:val="20"/>
        </w:rPr>
      </w:r>
    </w:p>
    <w:p>
      <w:pPr>
        <w:pStyle w:val="2"/>
        <w:outlineLvl w:val="3"/>
        <w:jc w:val="center"/>
      </w:pPr>
      <w:r>
        <w:rPr>
          <w:sz w:val="20"/>
        </w:rPr>
        <w:t xml:space="preserve">Оценка степени достижения запланированного показателя</w:t>
      </w:r>
    </w:p>
    <w:p>
      <w:pPr>
        <w:pStyle w:val="0"/>
        <w:jc w:val="both"/>
      </w:pPr>
      <w:r>
        <w:rPr>
          <w:sz w:val="20"/>
        </w:rPr>
      </w:r>
    </w:p>
    <w:p>
      <w:pPr>
        <w:pStyle w:val="0"/>
        <w:jc w:val="right"/>
      </w:pPr>
      <w:r>
        <w:rPr>
          <w:sz w:val="20"/>
        </w:rPr>
        <w:t xml:space="preserve">Таблица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948"/>
        <w:gridCol w:w="6123"/>
      </w:tblGrid>
      <w:tr>
        <w:tblPrEx>
          <w:tblBorders>
            <w:insideH w:val="nil"/>
          </w:tblBorders>
        </w:tblPrEx>
        <w:tc>
          <w:tcPr>
            <w:tcW w:w="2948" w:type="dxa"/>
            <w:tcBorders>
              <w:bottom w:val="nil"/>
            </w:tcBorders>
          </w:tcPr>
          <w:p>
            <w:pPr>
              <w:pStyle w:val="0"/>
              <w:jc w:val="center"/>
            </w:pPr>
            <w:r>
              <w:rPr>
                <w:sz w:val="20"/>
              </w:rPr>
              <w:t xml:space="preserve">Субъект официального статистического учета, ответственный за сбор и представление информации</w:t>
            </w:r>
          </w:p>
        </w:tc>
        <w:tc>
          <w:tcPr>
            <w:tcW w:w="6123" w:type="dxa"/>
            <w:tcBorders>
              <w:bottom w:val="nil"/>
            </w:tcBorders>
          </w:tcPr>
          <w:p>
            <w:pPr>
              <w:pStyle w:val="0"/>
              <w:jc w:val="center"/>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2"/>
            <w:tcW w:w="9071" w:type="dxa"/>
            <w:tcBorders>
              <w:top w:val="nil"/>
            </w:tcBorders>
          </w:tcPr>
          <w:p>
            <w:pPr>
              <w:pStyle w:val="0"/>
              <w:jc w:val="both"/>
            </w:pPr>
            <w:r>
              <w:rPr>
                <w:sz w:val="20"/>
              </w:rPr>
              <w:t xml:space="preserve">(в ред. </w:t>
            </w:r>
            <w:hyperlink w:history="0" r:id="rId16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blPrEx>
          <w:tblBorders>
            <w:insideH w:val="nil"/>
          </w:tblBorders>
        </w:tblPrEx>
        <w:tc>
          <w:tcPr>
            <w:tcW w:w="2948" w:type="dxa"/>
            <w:tcBorders>
              <w:bottom w:val="nil"/>
            </w:tcBorders>
          </w:tcPr>
          <w:p>
            <w:pPr>
              <w:pStyle w:val="0"/>
            </w:pPr>
            <w:r>
              <w:rPr>
                <w:sz w:val="20"/>
              </w:rPr>
              <w:t xml:space="preserve">Исполнитель, ответственный за формирование показателя (контактная информация:</w:t>
            </w:r>
          </w:p>
          <w:p>
            <w:pPr>
              <w:pStyle w:val="0"/>
            </w:pPr>
            <w:r>
              <w:rPr>
                <w:sz w:val="20"/>
              </w:rPr>
              <w:t xml:space="preserve">Ф.И.О., должность, телефон, факс, адрес электронной почты)</w:t>
            </w:r>
          </w:p>
        </w:tc>
        <w:tc>
          <w:tcPr>
            <w:tcW w:w="6123" w:type="dxa"/>
            <w:tcBorders>
              <w:bottom w:val="nil"/>
            </w:tcBorders>
          </w:tcPr>
          <w:p>
            <w:pPr>
              <w:pStyle w:val="0"/>
              <w:jc w:val="both"/>
            </w:pPr>
            <w:r>
              <w:rPr>
                <w:sz w:val="20"/>
              </w:rPr>
              <w:t xml:space="preserve">Начальник управления экологического и охотничьего надзора Белгородской области: 308023, г. Белгород, ул. Студенческая, д. 1е, тел.: 73-25-95, 73-26-06,</w:t>
            </w:r>
          </w:p>
          <w:p>
            <w:pPr>
              <w:pStyle w:val="0"/>
              <w:jc w:val="both"/>
            </w:pPr>
            <w:r>
              <w:rPr>
                <w:sz w:val="20"/>
              </w:rPr>
              <w:t xml:space="preserve">E-mail: priemnaya@econadzor31.ru</w:t>
            </w:r>
          </w:p>
        </w:tc>
      </w:tr>
      <w:tr>
        <w:tblPrEx>
          <w:tblBorders>
            <w:insideH w:val="nil"/>
          </w:tblBorders>
        </w:tblPrEx>
        <w:tc>
          <w:tcPr>
            <w:gridSpan w:val="2"/>
            <w:tcW w:w="9071" w:type="dxa"/>
            <w:tcBorders>
              <w:top w:val="nil"/>
            </w:tcBorders>
          </w:tcPr>
          <w:p>
            <w:pPr>
              <w:pStyle w:val="0"/>
              <w:jc w:val="both"/>
            </w:pPr>
            <w:r>
              <w:rPr>
                <w:sz w:val="20"/>
              </w:rPr>
              <w:t xml:space="preserve">(в ред. </w:t>
            </w:r>
            <w:hyperlink w:history="0" r:id="rId16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c>
          <w:tcPr>
            <w:tcW w:w="2948" w:type="dxa"/>
          </w:tcPr>
          <w:p>
            <w:pPr>
              <w:pStyle w:val="0"/>
            </w:pPr>
            <w:r>
              <w:rPr>
                <w:sz w:val="20"/>
              </w:rPr>
              <w:t xml:space="preserve">Субъекты, представляющие информацию</w:t>
            </w:r>
          </w:p>
        </w:tc>
        <w:tc>
          <w:tcPr>
            <w:tcW w:w="6123" w:type="dxa"/>
          </w:tcPr>
          <w:p>
            <w:pPr>
              <w:pStyle w:val="0"/>
              <w:jc w:val="both"/>
            </w:pPr>
            <w:r>
              <w:rPr>
                <w:sz w:val="20"/>
              </w:rPr>
              <w:t xml:space="preserve">Индивидуальные предприниматели и юридические лица, граждане</w:t>
            </w:r>
          </w:p>
        </w:tc>
      </w:tr>
      <w:tr>
        <w:tc>
          <w:tcPr>
            <w:tcW w:w="2948" w:type="dxa"/>
          </w:tcPr>
          <w:p>
            <w:pPr>
              <w:pStyle w:val="0"/>
            </w:pPr>
            <w:r>
              <w:rPr>
                <w:sz w:val="20"/>
              </w:rPr>
              <w:t xml:space="preserve">Наименование показателя</w:t>
            </w:r>
          </w:p>
        </w:tc>
        <w:tc>
          <w:tcPr>
            <w:tcW w:w="6123" w:type="dxa"/>
          </w:tcPr>
          <w:p>
            <w:pPr>
              <w:pStyle w:val="0"/>
              <w:jc w:val="both"/>
            </w:pPr>
            <w:r>
              <w:rPr>
                <w:sz w:val="20"/>
              </w:rPr>
              <w:t xml:space="preserve">Средний вылов одного рыболова за один выезд</w:t>
            </w:r>
          </w:p>
        </w:tc>
      </w:tr>
      <w:tr>
        <w:tc>
          <w:tcPr>
            <w:tcW w:w="2948" w:type="dxa"/>
          </w:tcPr>
          <w:p>
            <w:pPr>
              <w:pStyle w:val="0"/>
            </w:pPr>
            <w:r>
              <w:rPr>
                <w:sz w:val="20"/>
              </w:rPr>
              <w:t xml:space="preserve">Единица измерения</w:t>
            </w:r>
          </w:p>
        </w:tc>
        <w:tc>
          <w:tcPr>
            <w:tcW w:w="6123" w:type="dxa"/>
          </w:tcPr>
          <w:p>
            <w:pPr>
              <w:pStyle w:val="0"/>
              <w:jc w:val="both"/>
            </w:pPr>
            <w:r>
              <w:rPr>
                <w:sz w:val="20"/>
              </w:rPr>
              <w:t xml:space="preserve">Килограмм</w:t>
            </w:r>
          </w:p>
        </w:tc>
      </w:tr>
      <w:tr>
        <w:tc>
          <w:tcPr>
            <w:tcW w:w="2948" w:type="dxa"/>
          </w:tcPr>
          <w:p>
            <w:pPr>
              <w:pStyle w:val="0"/>
            </w:pPr>
            <w:r>
              <w:rPr>
                <w:sz w:val="20"/>
              </w:rPr>
              <w:t xml:space="preserve">Определения показателя</w:t>
            </w:r>
          </w:p>
        </w:tc>
        <w:tc>
          <w:tcPr>
            <w:tcW w:w="6123" w:type="dxa"/>
          </w:tcPr>
          <w:p>
            <w:pPr>
              <w:pStyle w:val="0"/>
              <w:jc w:val="both"/>
            </w:pPr>
            <w:r>
              <w:rPr>
                <w:sz w:val="20"/>
              </w:rPr>
              <w:t xml:space="preserve">Средний вылов одного рыболова за один выезд</w:t>
            </w:r>
          </w:p>
        </w:tc>
      </w:tr>
      <w:tr>
        <w:tc>
          <w:tcPr>
            <w:tcW w:w="2948" w:type="dxa"/>
          </w:tcPr>
          <w:p>
            <w:pPr>
              <w:pStyle w:val="0"/>
            </w:pPr>
            <w:r>
              <w:rPr>
                <w:sz w:val="20"/>
              </w:rPr>
              <w:t xml:space="preserve">Алгоритм формирования показателя и методологические пояснения к показателю</w:t>
            </w:r>
          </w:p>
        </w:tc>
        <w:tc>
          <w:tcPr>
            <w:tcW w:w="6123" w:type="dxa"/>
          </w:tcPr>
          <w:p>
            <w:pPr>
              <w:pStyle w:val="0"/>
              <w:jc w:val="center"/>
            </w:pPr>
            <w:r>
              <w:rPr>
                <w:position w:val="-57"/>
              </w:rPr>
              <w:drawing>
                <wp:inline distT="0" distB="0" distL="0" distR="0">
                  <wp:extent cx="1600200" cy="8610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a:extLst>
                              <a:ext uri="{28A0092B-C50C-407E-A947-70E740481C1C}">
                                <a14:useLocalDpi xmlns:a14="http://schemas.microsoft.com/office/drawing/2010/main" val="0"/>
                              </a:ext>
                            </a:extLst>
                          </a:blip>
                          <a:srcRect/>
                          <a:stretch>
                            <a:fillRect/>
                          </a:stretch>
                        </pic:blipFill>
                        <pic:spPr bwMode="auto">
                          <a:xfrm>
                            <a:off x="0" y="0"/>
                            <a:ext cx="1600200" cy="861060"/>
                          </a:xfrm>
                          <a:prstGeom prst="rect">
                            <a:avLst/>
                          </a:prstGeom>
                          <a:noFill/>
                          <a:ln>
                            <a:noFill/>
                          </a:ln>
                        </pic:spPr>
                      </pic:pic>
                    </a:graphicData>
                  </a:graphic>
                </wp:inline>
              </w:drawing>
            </w:r>
          </w:p>
          <w:p>
            <w:pPr>
              <w:pStyle w:val="0"/>
              <w:jc w:val="both"/>
            </w:pPr>
            <w:r>
              <w:rPr>
                <w:sz w:val="20"/>
              </w:rPr>
              <w:t xml:space="preserve">где: R</w:t>
            </w:r>
            <w:r>
              <w:rPr>
                <w:sz w:val="20"/>
                <w:vertAlign w:val="subscript"/>
              </w:rPr>
              <w:t xml:space="preserve">n</w:t>
            </w:r>
            <w:r>
              <w:rPr>
                <w:sz w:val="20"/>
              </w:rPr>
              <w:t xml:space="preserve"> - объем улова n-го рыболова за 1 выезд;</w:t>
            </w:r>
          </w:p>
          <w:p>
            <w:pPr>
              <w:pStyle w:val="0"/>
              <w:jc w:val="both"/>
            </w:pPr>
            <w:r>
              <w:rPr>
                <w:sz w:val="20"/>
              </w:rPr>
              <w:t xml:space="preserve">N1 - общее количество информации по объемам улова рыболовов за летний период рыбалки;</w:t>
            </w:r>
          </w:p>
          <w:p>
            <w:pPr>
              <w:pStyle w:val="0"/>
              <w:jc w:val="both"/>
            </w:pPr>
            <w:r>
              <w:rPr>
                <w:sz w:val="20"/>
              </w:rPr>
              <w:t xml:space="preserve">N2 - общее количество информации по объемам улова рыболовов за зимний период рыбалки</w:t>
            </w:r>
          </w:p>
        </w:tc>
      </w:tr>
      <w:tr>
        <w:tc>
          <w:tcPr>
            <w:tcW w:w="2948" w:type="dxa"/>
          </w:tcPr>
          <w:p>
            <w:pPr>
              <w:pStyle w:val="0"/>
            </w:pPr>
            <w:r>
              <w:rPr>
                <w:sz w:val="20"/>
              </w:rPr>
              <w:t xml:space="preserve">Наблюдаемые характеристики показателя</w:t>
            </w:r>
          </w:p>
        </w:tc>
        <w:tc>
          <w:tcPr>
            <w:tcW w:w="6123" w:type="dxa"/>
          </w:tcPr>
          <w:p>
            <w:pPr>
              <w:pStyle w:val="0"/>
              <w:jc w:val="both"/>
            </w:pPr>
            <w:r>
              <w:rPr>
                <w:sz w:val="20"/>
              </w:rPr>
              <w:t xml:space="preserve">Увеличение объема вылова водных биоресурсов рыболовом за один выезд на водных объектах рыбохозяйственного значения к уровню 2013 года</w:t>
            </w:r>
          </w:p>
        </w:tc>
      </w:tr>
      <w:tr>
        <w:tc>
          <w:tcPr>
            <w:tcW w:w="2948" w:type="dxa"/>
          </w:tcPr>
          <w:p>
            <w:pPr>
              <w:pStyle w:val="0"/>
            </w:pPr>
            <w:r>
              <w:rPr>
                <w:sz w:val="20"/>
              </w:rPr>
              <w:t xml:space="preserve">Временные характеристики показателя</w:t>
            </w:r>
          </w:p>
        </w:tc>
        <w:tc>
          <w:tcPr>
            <w:tcW w:w="6123" w:type="dxa"/>
          </w:tcPr>
          <w:p>
            <w:pPr>
              <w:pStyle w:val="0"/>
              <w:jc w:val="both"/>
            </w:pPr>
            <w:r>
              <w:rPr>
                <w:sz w:val="20"/>
              </w:rPr>
              <w:t xml:space="preserve">Два раза в год:</w:t>
            </w:r>
          </w:p>
          <w:p>
            <w:pPr>
              <w:pStyle w:val="0"/>
              <w:jc w:val="both"/>
            </w:pPr>
            <w:r>
              <w:rPr>
                <w:sz w:val="20"/>
              </w:rPr>
              <w:t xml:space="preserve">Зимний период рыболовства - декабрь, январь, февраль.</w:t>
            </w:r>
          </w:p>
          <w:p>
            <w:pPr>
              <w:pStyle w:val="0"/>
              <w:jc w:val="both"/>
            </w:pPr>
            <w:r>
              <w:rPr>
                <w:sz w:val="20"/>
              </w:rPr>
              <w:t xml:space="preserve">Летний период рыболовства - июль, август, сентябрь, октябрь</w:t>
            </w:r>
          </w:p>
        </w:tc>
      </w:tr>
      <w:tr>
        <w:tc>
          <w:tcPr>
            <w:tcW w:w="2948" w:type="dxa"/>
          </w:tcPr>
          <w:p>
            <w:pPr>
              <w:pStyle w:val="0"/>
            </w:pPr>
            <w:r>
              <w:rPr>
                <w:sz w:val="20"/>
              </w:rPr>
              <w:t xml:space="preserve">Характеристика разреза наблюдения</w:t>
            </w:r>
          </w:p>
        </w:tc>
        <w:tc>
          <w:tcPr>
            <w:tcW w:w="6123" w:type="dxa"/>
          </w:tcPr>
          <w:p>
            <w:pPr>
              <w:pStyle w:val="0"/>
              <w:jc w:val="both"/>
            </w:pPr>
            <w:r>
              <w:rPr>
                <w:sz w:val="20"/>
              </w:rPr>
              <w:t xml:space="preserve">Территориальный (водные объекты рыбохозяйственного значения, расположенные на территории муниципальных образований области)</w:t>
            </w:r>
          </w:p>
        </w:tc>
      </w:tr>
      <w:tr>
        <w:tc>
          <w:tcPr>
            <w:tcW w:w="2948" w:type="dxa"/>
          </w:tcPr>
          <w:p>
            <w:pPr>
              <w:pStyle w:val="0"/>
            </w:pPr>
            <w:r>
              <w:rPr>
                <w:sz w:val="20"/>
              </w:rPr>
              <w:t xml:space="preserve">Дополнительные характеристики, необходимые для описания показателя</w:t>
            </w:r>
          </w:p>
        </w:tc>
        <w:tc>
          <w:tcPr>
            <w:tcW w:w="6123" w:type="dxa"/>
          </w:tcPr>
          <w:p>
            <w:pPr>
              <w:pStyle w:val="0"/>
              <w:jc w:val="both"/>
            </w:pPr>
            <w:r>
              <w:rPr>
                <w:sz w:val="20"/>
              </w:rPr>
              <w:t xml:space="preserve">Карточка учета численности рыболовов - любителей, рыболовная карточка, анкеты социологического опроса рыболовов, данные учета вылова водных биоресурсов по договорам с гражданами</w:t>
            </w:r>
          </w:p>
        </w:tc>
      </w:tr>
    </w:tbl>
    <w:p>
      <w:pPr>
        <w:pStyle w:val="0"/>
        <w:jc w:val="both"/>
      </w:pPr>
      <w:r>
        <w:rPr>
          <w:sz w:val="20"/>
        </w:rPr>
      </w:r>
    </w:p>
    <w:p>
      <w:pPr>
        <w:pStyle w:val="2"/>
        <w:outlineLvl w:val="2"/>
        <w:jc w:val="center"/>
      </w:pPr>
      <w:r>
        <w:rPr>
          <w:sz w:val="20"/>
        </w:rPr>
        <w:t xml:space="preserve">5. Ресурсное обеспечение подпрограммы 5</w:t>
      </w:r>
    </w:p>
    <w:p>
      <w:pPr>
        <w:pStyle w:val="2"/>
        <w:jc w:val="center"/>
      </w:pPr>
      <w:r>
        <w:rPr>
          <w:sz w:val="20"/>
        </w:rPr>
        <w:t xml:space="preserve">(в разрезе главных распорядителей средств областного</w:t>
      </w:r>
    </w:p>
    <w:p>
      <w:pPr>
        <w:pStyle w:val="2"/>
        <w:jc w:val="center"/>
      </w:pPr>
      <w:r>
        <w:rPr>
          <w:sz w:val="20"/>
        </w:rPr>
        <w:t xml:space="preserve">бюджета, основных мероприятий, а также по годам</w:t>
      </w:r>
    </w:p>
    <w:p>
      <w:pPr>
        <w:pStyle w:val="2"/>
        <w:jc w:val="center"/>
      </w:pPr>
      <w:r>
        <w:rPr>
          <w:sz w:val="20"/>
        </w:rPr>
        <w:t xml:space="preserve">реализации подпрограммы 5)</w:t>
      </w:r>
    </w:p>
    <w:p>
      <w:pPr>
        <w:pStyle w:val="0"/>
        <w:jc w:val="both"/>
      </w:pPr>
      <w:r>
        <w:rPr>
          <w:sz w:val="20"/>
        </w:rPr>
      </w:r>
    </w:p>
    <w:p>
      <w:pPr>
        <w:pStyle w:val="0"/>
        <w:ind w:firstLine="540"/>
        <w:jc w:val="both"/>
      </w:pPr>
      <w:r>
        <w:rPr>
          <w:sz w:val="20"/>
        </w:rPr>
        <w:t xml:space="preserve">Общий объем бюджетных ассигнований подпрограммы 5 в 2014 - 2025 годах - 1966,0 тыс. рублей, в том числе:</w:t>
      </w:r>
    </w:p>
    <w:p>
      <w:pPr>
        <w:pStyle w:val="0"/>
        <w:jc w:val="both"/>
      </w:pPr>
      <w:r>
        <w:rPr>
          <w:sz w:val="20"/>
        </w:rPr>
        <w:t xml:space="preserve">(в ред. </w:t>
      </w:r>
      <w:hyperlink w:history="0" r:id="rId166"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за счет средств федерального бюджета - 382,0 тыс. рублей;</w:t>
      </w:r>
    </w:p>
    <w:p>
      <w:pPr>
        <w:pStyle w:val="0"/>
        <w:jc w:val="both"/>
      </w:pPr>
      <w:r>
        <w:rPr>
          <w:sz w:val="20"/>
        </w:rPr>
        <w:t xml:space="preserve">(в ред. </w:t>
      </w:r>
      <w:hyperlink w:history="0" r:id="rId167"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за счет средств областного бюджета - 1584,0 тыс. рублей; в том числе по годам:</w:t>
      </w:r>
    </w:p>
    <w:p>
      <w:pPr>
        <w:pStyle w:val="0"/>
        <w:spacing w:before="200" w:line-rule="auto"/>
        <w:ind w:firstLine="540"/>
        <w:jc w:val="both"/>
      </w:pPr>
      <w:r>
        <w:rPr>
          <w:sz w:val="20"/>
        </w:rPr>
        <w:t xml:space="preserve">2014 год - 240,0 тыс. рублей;</w:t>
      </w:r>
    </w:p>
    <w:p>
      <w:pPr>
        <w:pStyle w:val="0"/>
        <w:spacing w:before="200" w:line-rule="auto"/>
        <w:ind w:firstLine="540"/>
        <w:jc w:val="both"/>
      </w:pPr>
      <w:r>
        <w:rPr>
          <w:sz w:val="20"/>
        </w:rPr>
        <w:t xml:space="preserve">2015 год - 240,0 тыс. рублей;</w:t>
      </w:r>
    </w:p>
    <w:p>
      <w:pPr>
        <w:pStyle w:val="0"/>
        <w:spacing w:before="200" w:line-rule="auto"/>
        <w:ind w:firstLine="540"/>
        <w:jc w:val="both"/>
      </w:pPr>
      <w:r>
        <w:rPr>
          <w:sz w:val="20"/>
        </w:rPr>
        <w:t xml:space="preserve">2016 год - 240,0 тыс. рублей;</w:t>
      </w:r>
    </w:p>
    <w:p>
      <w:pPr>
        <w:pStyle w:val="0"/>
        <w:spacing w:before="200" w:line-rule="auto"/>
        <w:ind w:firstLine="540"/>
        <w:jc w:val="both"/>
      </w:pPr>
      <w:r>
        <w:rPr>
          <w:sz w:val="20"/>
        </w:rPr>
        <w:t xml:space="preserve">2017 год - 96,0 тыс. рублей;</w:t>
      </w:r>
    </w:p>
    <w:p>
      <w:pPr>
        <w:pStyle w:val="0"/>
        <w:spacing w:before="200" w:line-rule="auto"/>
        <w:ind w:firstLine="540"/>
        <w:jc w:val="both"/>
      </w:pPr>
      <w:r>
        <w:rPr>
          <w:sz w:val="20"/>
        </w:rPr>
        <w:t xml:space="preserve">2018 год - 96,0 тыс. рублей;</w:t>
      </w:r>
    </w:p>
    <w:p>
      <w:pPr>
        <w:pStyle w:val="0"/>
        <w:spacing w:before="200" w:line-rule="auto"/>
        <w:ind w:firstLine="540"/>
        <w:jc w:val="both"/>
      </w:pPr>
      <w:r>
        <w:rPr>
          <w:sz w:val="20"/>
        </w:rPr>
        <w:t xml:space="preserve">2019 год - 96,0 тыс. рублей;</w:t>
      </w:r>
    </w:p>
    <w:p>
      <w:pPr>
        <w:pStyle w:val="0"/>
        <w:spacing w:before="200" w:line-rule="auto"/>
        <w:ind w:firstLine="540"/>
        <w:jc w:val="both"/>
      </w:pPr>
      <w:r>
        <w:rPr>
          <w:sz w:val="20"/>
        </w:rPr>
        <w:t xml:space="preserve">2020 год - 96,0 тыс. рублей;</w:t>
      </w:r>
    </w:p>
    <w:p>
      <w:pPr>
        <w:pStyle w:val="0"/>
        <w:spacing w:before="200" w:line-rule="auto"/>
        <w:ind w:firstLine="540"/>
        <w:jc w:val="both"/>
      </w:pPr>
      <w:r>
        <w:rPr>
          <w:sz w:val="20"/>
        </w:rPr>
        <w:t xml:space="preserve">2021 год - 96,0 тыс. рублей;</w:t>
      </w:r>
    </w:p>
    <w:p>
      <w:pPr>
        <w:pStyle w:val="0"/>
        <w:spacing w:before="200" w:line-rule="auto"/>
        <w:ind w:firstLine="540"/>
        <w:jc w:val="both"/>
      </w:pPr>
      <w:r>
        <w:rPr>
          <w:sz w:val="20"/>
        </w:rPr>
        <w:t xml:space="preserve">2022 год - 96,0 тыс. рублей;</w:t>
      </w:r>
    </w:p>
    <w:p>
      <w:pPr>
        <w:pStyle w:val="0"/>
        <w:spacing w:before="200" w:line-rule="auto"/>
        <w:ind w:firstLine="540"/>
        <w:jc w:val="both"/>
      </w:pPr>
      <w:r>
        <w:rPr>
          <w:sz w:val="20"/>
        </w:rPr>
        <w:t xml:space="preserve">2023 год - 96,0 тыс. рублей;</w:t>
      </w:r>
    </w:p>
    <w:p>
      <w:pPr>
        <w:pStyle w:val="0"/>
        <w:spacing w:before="200" w:line-rule="auto"/>
        <w:ind w:firstLine="540"/>
        <w:jc w:val="both"/>
      </w:pPr>
      <w:r>
        <w:rPr>
          <w:sz w:val="20"/>
        </w:rPr>
        <w:t xml:space="preserve">2024 год - 96,0 тыс. рублей;</w:t>
      </w:r>
    </w:p>
    <w:p>
      <w:pPr>
        <w:pStyle w:val="0"/>
        <w:spacing w:before="200" w:line-rule="auto"/>
        <w:ind w:firstLine="540"/>
        <w:jc w:val="both"/>
      </w:pPr>
      <w:r>
        <w:rPr>
          <w:sz w:val="20"/>
        </w:rPr>
        <w:t xml:space="preserve">2025 год - 96,0 тыс. рублей.</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5 из различных источников финансирования и ресурсное обеспечение реализации подпрограммы 5 за счет средств бюджета Белгородской области по годам представлены соответственно в </w:t>
      </w:r>
      <w:hyperlink w:history="0" w:anchor="P4186" w:tooltip="Приложение N 3">
        <w:r>
          <w:rPr>
            <w:sz w:val="20"/>
            <w:color w:val="0000ff"/>
          </w:rPr>
          <w:t xml:space="preserve">приложениях N 3</w:t>
        </w:r>
      </w:hyperlink>
      <w:r>
        <w:rPr>
          <w:sz w:val="20"/>
        </w:rPr>
        <w:t xml:space="preserve"> и </w:t>
      </w:r>
      <w:hyperlink w:history="0" w:anchor="P7853"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w:t>
      </w:r>
    </w:p>
    <w:p>
      <w:pPr>
        <w:pStyle w:val="0"/>
        <w:jc w:val="both"/>
      </w:pPr>
      <w:r>
        <w:rPr>
          <w:sz w:val="20"/>
        </w:rPr>
      </w:r>
    </w:p>
    <w:bookmarkStart w:id="1864" w:name="P1864"/>
    <w:bookmarkEnd w:id="1864"/>
    <w:p>
      <w:pPr>
        <w:pStyle w:val="2"/>
        <w:outlineLvl w:val="1"/>
        <w:jc w:val="center"/>
      </w:pPr>
      <w:r>
        <w:rPr>
          <w:sz w:val="20"/>
        </w:rPr>
        <w:t xml:space="preserve">Паспорт</w:t>
      </w:r>
    </w:p>
    <w:p>
      <w:pPr>
        <w:pStyle w:val="2"/>
        <w:jc w:val="center"/>
      </w:pPr>
      <w:r>
        <w:rPr>
          <w:sz w:val="20"/>
        </w:rPr>
        <w:t xml:space="preserve">подпрограммы 6 "Обеспечение реализации</w:t>
      </w:r>
    </w:p>
    <w:p>
      <w:pPr>
        <w:pStyle w:val="2"/>
        <w:jc w:val="center"/>
      </w:pPr>
      <w:r>
        <w:rPr>
          <w:sz w:val="20"/>
        </w:rPr>
        <w:t xml:space="preserve">государственной программы"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подпрограммы 6: "Обеспечение реализации государственной программы" (далее - подпрограмма 6)</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Соисполнитель подпрограммы 6</w:t>
            </w:r>
          </w:p>
        </w:tc>
        <w:tc>
          <w:tcPr>
            <w:tcW w:w="6236" w:type="dxa"/>
            <w:tcBorders>
              <w:bottom w:val="nil"/>
            </w:tcBorders>
          </w:tcPr>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(п. 1 в ред. </w:t>
            </w:r>
            <w:hyperlink w:history="0" r:id="rId16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Участники подпрограммы 6</w:t>
            </w:r>
          </w:p>
        </w:tc>
        <w:tc>
          <w:tcPr>
            <w:tcW w:w="6236" w:type="dxa"/>
            <w:tcBorders>
              <w:bottom w:val="nil"/>
            </w:tcBorders>
          </w:tcPr>
          <w:p>
            <w:pPr>
              <w:pStyle w:val="0"/>
              <w:jc w:val="both"/>
            </w:pPr>
            <w:r>
              <w:rPr>
                <w:sz w:val="20"/>
              </w:rPr>
              <w:t xml:space="preserve">Управление экологического и охотничьего надзора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(п. 2 в ред. </w:t>
            </w:r>
            <w:hyperlink w:history="0" r:id="rId16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3</w:t>
            </w:r>
          </w:p>
        </w:tc>
        <w:tc>
          <w:tcPr>
            <w:tcW w:w="2324" w:type="dxa"/>
          </w:tcPr>
          <w:p>
            <w:pPr>
              <w:pStyle w:val="0"/>
            </w:pPr>
            <w:r>
              <w:rPr>
                <w:sz w:val="20"/>
              </w:rPr>
              <w:t xml:space="preserve">Цель подпрограммы 6</w:t>
            </w:r>
          </w:p>
        </w:tc>
        <w:tc>
          <w:tcPr>
            <w:tcW w:w="6236" w:type="dxa"/>
          </w:tcPr>
          <w:p>
            <w:pPr>
              <w:pStyle w:val="0"/>
              <w:jc w:val="both"/>
            </w:pPr>
            <w:r>
              <w:rPr>
                <w:sz w:val="20"/>
              </w:rPr>
              <w:t xml:space="preserve">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tc>
      </w:tr>
      <w:tr>
        <w:tblPrEx>
          <w:tblBorders>
            <w:insideH w:val="nil"/>
          </w:tblBorders>
        </w:tblPrEx>
        <w:tc>
          <w:tcPr>
            <w:tcW w:w="454" w:type="dxa"/>
            <w:tcBorders>
              <w:bottom w:val="nil"/>
            </w:tcBorders>
          </w:tcPr>
          <w:p>
            <w:pPr>
              <w:pStyle w:val="0"/>
              <w:jc w:val="center"/>
            </w:pPr>
            <w:r>
              <w:rPr>
                <w:sz w:val="20"/>
              </w:rPr>
              <w:t xml:space="preserve">4</w:t>
            </w:r>
          </w:p>
        </w:tc>
        <w:tc>
          <w:tcPr>
            <w:tcW w:w="2324" w:type="dxa"/>
            <w:tcBorders>
              <w:bottom w:val="nil"/>
            </w:tcBorders>
          </w:tcPr>
          <w:p>
            <w:pPr>
              <w:pStyle w:val="0"/>
            </w:pPr>
            <w:r>
              <w:rPr>
                <w:sz w:val="20"/>
              </w:rPr>
              <w:t xml:space="preserve">Задача подпрограммы 6</w:t>
            </w:r>
          </w:p>
        </w:tc>
        <w:tc>
          <w:tcPr>
            <w:tcW w:w="6236" w:type="dxa"/>
            <w:tcBorders>
              <w:bottom w:val="nil"/>
            </w:tcBorders>
          </w:tcPr>
          <w:p>
            <w:pPr>
              <w:pStyle w:val="0"/>
              <w:jc w:val="both"/>
            </w:pPr>
            <w:r>
              <w:rPr>
                <w:sz w:val="20"/>
              </w:rPr>
              <w:t xml:space="preserve">Исполнение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w:t>
            </w:r>
          </w:p>
        </w:tc>
      </w:tr>
      <w:tr>
        <w:tblPrEx>
          <w:tblBorders>
            <w:insideH w:val="nil"/>
          </w:tblBorders>
        </w:tblPrEx>
        <w:tc>
          <w:tcPr>
            <w:gridSpan w:val="3"/>
            <w:tcW w:w="9014" w:type="dxa"/>
            <w:tcBorders>
              <w:top w:val="nil"/>
            </w:tcBorders>
          </w:tcPr>
          <w:p>
            <w:pPr>
              <w:pStyle w:val="0"/>
              <w:jc w:val="both"/>
            </w:pPr>
            <w:r>
              <w:rPr>
                <w:sz w:val="20"/>
              </w:rPr>
              <w:t xml:space="preserve">(п. 4 в ред. </w:t>
            </w:r>
            <w:hyperlink w:history="0" r:id="rId17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tc>
      </w:tr>
      <w:tr>
        <w:tc>
          <w:tcPr>
            <w:tcW w:w="454" w:type="dxa"/>
          </w:tcPr>
          <w:p>
            <w:pPr>
              <w:pStyle w:val="0"/>
              <w:jc w:val="center"/>
            </w:pPr>
            <w:r>
              <w:rPr>
                <w:sz w:val="20"/>
              </w:rPr>
              <w:t xml:space="preserve">5</w:t>
            </w:r>
          </w:p>
        </w:tc>
        <w:tc>
          <w:tcPr>
            <w:tcW w:w="2324" w:type="dxa"/>
          </w:tcPr>
          <w:p>
            <w:pPr>
              <w:pStyle w:val="0"/>
            </w:pPr>
            <w:r>
              <w:rPr>
                <w:sz w:val="20"/>
              </w:rPr>
              <w:t xml:space="preserve">Этапы и сроки реализации подпрограммы 6</w:t>
            </w:r>
          </w:p>
        </w:tc>
        <w:tc>
          <w:tcPr>
            <w:tcW w:w="6236" w:type="dxa"/>
          </w:tcPr>
          <w:p>
            <w:pPr>
              <w:pStyle w:val="0"/>
              <w:jc w:val="both"/>
            </w:pPr>
            <w:r>
              <w:rPr>
                <w:sz w:val="20"/>
              </w:rPr>
              <w:t xml:space="preserve">Реализация подпрограммы 6 осуществляется в 2 этапа:</w:t>
            </w:r>
          </w:p>
          <w:p>
            <w:pPr>
              <w:pStyle w:val="0"/>
              <w:jc w:val="both"/>
            </w:pPr>
            <w:r>
              <w:rPr>
                <w:sz w:val="20"/>
              </w:rPr>
              <w:t xml:space="preserve">1 - 2014 - 2020 годы;</w:t>
            </w:r>
          </w:p>
          <w:p>
            <w:pPr>
              <w:pStyle w:val="0"/>
              <w:jc w:val="both"/>
            </w:pPr>
            <w:r>
              <w:rPr>
                <w:sz w:val="20"/>
              </w:rPr>
              <w:t xml:space="preserve">2 - 2021 - 2025 годы</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Объемы бюджетных ассигнований подпрограммы 6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pPr>
              <w:pStyle w:val="0"/>
              <w:jc w:val="both"/>
            </w:pPr>
            <w:r>
              <w:rPr>
                <w:sz w:val="20"/>
              </w:rPr>
              <w:t xml:space="preserve">Общий объем финансирования подпрограммы 6 в 2014 - 2025 годах за счет средств областного бюджета составит 1270229,6 тыс. рублей (в текущих ценах), в том числе по годам:</w:t>
            </w:r>
          </w:p>
          <w:p>
            <w:pPr>
              <w:pStyle w:val="0"/>
              <w:jc w:val="both"/>
            </w:pPr>
            <w:r>
              <w:rPr>
                <w:sz w:val="20"/>
              </w:rPr>
              <w:t xml:space="preserve">2014 год - 103241 тыс. рублей;</w:t>
            </w:r>
          </w:p>
          <w:p>
            <w:pPr>
              <w:pStyle w:val="0"/>
              <w:jc w:val="both"/>
            </w:pPr>
            <w:r>
              <w:rPr>
                <w:sz w:val="20"/>
              </w:rPr>
              <w:t xml:space="preserve">2015 год - 88785 тыс. рублей;</w:t>
            </w:r>
          </w:p>
          <w:p>
            <w:pPr>
              <w:pStyle w:val="0"/>
              <w:jc w:val="both"/>
            </w:pPr>
            <w:r>
              <w:rPr>
                <w:sz w:val="20"/>
              </w:rPr>
              <w:t xml:space="preserve">2016 год - 69104 тыс. рублей;</w:t>
            </w:r>
          </w:p>
          <w:p>
            <w:pPr>
              <w:pStyle w:val="0"/>
              <w:jc w:val="both"/>
            </w:pPr>
            <w:r>
              <w:rPr>
                <w:sz w:val="20"/>
              </w:rPr>
              <w:t xml:space="preserve">2017 год - 80121 тыс. рублей;</w:t>
            </w:r>
          </w:p>
          <w:p>
            <w:pPr>
              <w:pStyle w:val="0"/>
              <w:jc w:val="both"/>
            </w:pPr>
            <w:r>
              <w:rPr>
                <w:sz w:val="20"/>
              </w:rPr>
              <w:t xml:space="preserve">2018 год - 107708 тыс. рублей;</w:t>
            </w:r>
          </w:p>
          <w:p>
            <w:pPr>
              <w:pStyle w:val="0"/>
              <w:jc w:val="both"/>
            </w:pPr>
            <w:r>
              <w:rPr>
                <w:sz w:val="20"/>
              </w:rPr>
              <w:t xml:space="preserve">2019 год - 110499,9 тыс. рублей;</w:t>
            </w:r>
          </w:p>
          <w:p>
            <w:pPr>
              <w:pStyle w:val="0"/>
              <w:jc w:val="both"/>
            </w:pPr>
            <w:r>
              <w:rPr>
                <w:sz w:val="20"/>
              </w:rPr>
              <w:t xml:space="preserve">2020 год - 102159,0 тыс. рублей;</w:t>
            </w:r>
          </w:p>
          <w:p>
            <w:pPr>
              <w:pStyle w:val="0"/>
              <w:jc w:val="both"/>
            </w:pPr>
            <w:r>
              <w:rPr>
                <w:sz w:val="20"/>
              </w:rPr>
              <w:t xml:space="preserve">2021 год - 113666,0 тыс. рублей;</w:t>
            </w:r>
          </w:p>
          <w:p>
            <w:pPr>
              <w:pStyle w:val="0"/>
              <w:jc w:val="both"/>
            </w:pPr>
            <w:r>
              <w:rPr>
                <w:sz w:val="20"/>
              </w:rPr>
              <w:t xml:space="preserve">2022 год - 134073,7 тыс. рублей;</w:t>
            </w:r>
          </w:p>
          <w:p>
            <w:pPr>
              <w:pStyle w:val="0"/>
              <w:jc w:val="both"/>
            </w:pPr>
            <w:r>
              <w:rPr>
                <w:sz w:val="20"/>
              </w:rPr>
              <w:t xml:space="preserve">2023 год - 115845,0 тыс. рублей;</w:t>
            </w:r>
          </w:p>
          <w:p>
            <w:pPr>
              <w:pStyle w:val="0"/>
              <w:jc w:val="both"/>
            </w:pPr>
            <w:r>
              <w:rPr>
                <w:sz w:val="20"/>
              </w:rPr>
              <w:t xml:space="preserve">2024 год - 120576,0 тыс. рублей;</w:t>
            </w:r>
          </w:p>
          <w:p>
            <w:pPr>
              <w:pStyle w:val="0"/>
              <w:jc w:val="both"/>
            </w:pPr>
            <w:r>
              <w:rPr>
                <w:sz w:val="20"/>
              </w:rPr>
              <w:t xml:space="preserve">2025 год - 124451,0 тыс.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171"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7</w:t>
            </w:r>
          </w:p>
        </w:tc>
        <w:tc>
          <w:tcPr>
            <w:tcW w:w="2324" w:type="dxa"/>
          </w:tcPr>
          <w:p>
            <w:pPr>
              <w:pStyle w:val="0"/>
            </w:pPr>
            <w:r>
              <w:rPr>
                <w:sz w:val="20"/>
              </w:rPr>
              <w:t xml:space="preserve">Конечные результаты реализации подпрограммы 6</w:t>
            </w:r>
          </w:p>
        </w:tc>
        <w:tc>
          <w:tcPr>
            <w:tcW w:w="6236" w:type="dxa"/>
          </w:tcPr>
          <w:p>
            <w:pPr>
              <w:pStyle w:val="0"/>
              <w:jc w:val="both"/>
            </w:pPr>
            <w:r>
              <w:rPr>
                <w:sz w:val="20"/>
              </w:rPr>
              <w:t xml:space="preserve">Планируется:</w:t>
            </w:r>
          </w:p>
          <w:p>
            <w:pPr>
              <w:pStyle w:val="0"/>
              <w:jc w:val="both"/>
            </w:pPr>
            <w:r>
              <w:rPr>
                <w:sz w:val="20"/>
              </w:rPr>
              <w:t xml:space="preserve">Обеспечение среднего уровня достижения целевых показателей государственной программы не менее 95 процентов</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6, описание</w:t>
      </w:r>
    </w:p>
    <w:p>
      <w:pPr>
        <w:pStyle w:val="2"/>
        <w:jc w:val="center"/>
      </w:pPr>
      <w:r>
        <w:rPr>
          <w:sz w:val="20"/>
        </w:rPr>
        <w:t xml:space="preserve">основных проблем в указанной сфере и прогноз ее развития</w:t>
      </w:r>
    </w:p>
    <w:p>
      <w:pPr>
        <w:pStyle w:val="0"/>
        <w:jc w:val="center"/>
      </w:pPr>
      <w:r>
        <w:rPr>
          <w:sz w:val="20"/>
        </w:rPr>
        <w:t xml:space="preserve">(в ред. </w:t>
      </w:r>
      <w:hyperlink w:history="0" r:id="rId172"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20.07.2020 N 326-пп)</w:t>
      </w:r>
    </w:p>
    <w:p>
      <w:pPr>
        <w:pStyle w:val="0"/>
        <w:ind w:firstLine="540"/>
        <w:jc w:val="both"/>
      </w:pPr>
      <w:r>
        <w:rPr>
          <w:sz w:val="20"/>
        </w:rPr>
      </w:r>
    </w:p>
    <w:p>
      <w:pPr>
        <w:pStyle w:val="0"/>
        <w:ind w:firstLine="540"/>
        <w:jc w:val="both"/>
      </w:pPr>
      <w:r>
        <w:rPr>
          <w:sz w:val="20"/>
        </w:rPr>
        <w:t xml:space="preserve">Управление экологического и охотничьего надзора Белгородской области является органом исполнительной власти Белгородской области, осуществляющим государственное управление в области охраны окружающей среды и природопользования на территории Белгородской области.</w:t>
      </w:r>
    </w:p>
    <w:p>
      <w:pPr>
        <w:pStyle w:val="0"/>
        <w:spacing w:before="200" w:line-rule="auto"/>
        <w:ind w:firstLine="540"/>
        <w:jc w:val="both"/>
      </w:pPr>
      <w:r>
        <w:rPr>
          <w:sz w:val="20"/>
        </w:rPr>
        <w:t xml:space="preserve">Реализация подпрограммы 6 направлена на эффективное осуществление деятельности в сфере установленных функций и полномочий управления экологического и охотничьего надзора Белгородской области.</w:t>
      </w:r>
    </w:p>
    <w:p>
      <w:pPr>
        <w:pStyle w:val="0"/>
        <w:jc w:val="both"/>
      </w:pPr>
      <w:r>
        <w:rPr>
          <w:sz w:val="20"/>
        </w:rPr>
      </w:r>
    </w:p>
    <w:p>
      <w:pPr>
        <w:pStyle w:val="2"/>
        <w:outlineLvl w:val="2"/>
        <w:jc w:val="center"/>
      </w:pPr>
      <w:r>
        <w:rPr>
          <w:sz w:val="20"/>
        </w:rPr>
        <w:t xml:space="preserve">2. Цели, задачи, сроки и этапы реализации подпрограммы 6</w:t>
      </w:r>
    </w:p>
    <w:p>
      <w:pPr>
        <w:pStyle w:val="0"/>
        <w:jc w:val="both"/>
      </w:pPr>
      <w:r>
        <w:rPr>
          <w:sz w:val="20"/>
        </w:rPr>
      </w:r>
    </w:p>
    <w:p>
      <w:pPr>
        <w:pStyle w:val="0"/>
        <w:ind w:firstLine="540"/>
        <w:jc w:val="both"/>
      </w:pPr>
      <w:r>
        <w:rPr>
          <w:sz w:val="20"/>
        </w:rPr>
        <w:t xml:space="preserve">Реализация подпрограммы 6 позволит обеспечить достижение цели и решение задач государственной программы и достижение конечных и непосредственных результатов, предусмотренных государственной программой и входящими в ее состав подпрограммами.</w:t>
      </w:r>
    </w:p>
    <w:p>
      <w:pPr>
        <w:pStyle w:val="0"/>
        <w:spacing w:before="200" w:line-rule="auto"/>
        <w:ind w:firstLine="540"/>
        <w:jc w:val="both"/>
      </w:pPr>
      <w:r>
        <w:rPr>
          <w:sz w:val="20"/>
        </w:rPr>
        <w:t xml:space="preserve">Целью подпрограммы 6 является обеспечение эффективной деятельности органов исполнительной власти в сфере развития водного и лесного хозяйства Белгородской области, охраны окружающей среды.</w:t>
      </w:r>
    </w:p>
    <w:p>
      <w:pPr>
        <w:pStyle w:val="0"/>
        <w:spacing w:before="200" w:line-rule="auto"/>
        <w:ind w:firstLine="540"/>
        <w:jc w:val="both"/>
      </w:pPr>
      <w:r>
        <w:rPr>
          <w:sz w:val="20"/>
        </w:rPr>
        <w:t xml:space="preserve">В ходе реализации подпрограммы 6 планируется решение следующей задачи:</w:t>
      </w:r>
    </w:p>
    <w:p>
      <w:pPr>
        <w:pStyle w:val="0"/>
        <w:spacing w:before="200" w:line-rule="auto"/>
        <w:ind w:firstLine="540"/>
        <w:jc w:val="both"/>
      </w:pPr>
      <w:r>
        <w:rPr>
          <w:sz w:val="20"/>
        </w:rPr>
        <w:t xml:space="preserve">- исполнение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w:t>
      </w:r>
    </w:p>
    <w:p>
      <w:pPr>
        <w:pStyle w:val="0"/>
        <w:jc w:val="both"/>
      </w:pPr>
      <w:r>
        <w:rPr>
          <w:sz w:val="20"/>
        </w:rPr>
        <w:t xml:space="preserve">(в ред. </w:t>
      </w:r>
      <w:hyperlink w:history="0" r:id="rId17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 от 20.07.2020 N 326-пп)</w:t>
      </w:r>
    </w:p>
    <w:p>
      <w:pPr>
        <w:pStyle w:val="0"/>
        <w:spacing w:before="200" w:line-rule="auto"/>
        <w:ind w:firstLine="540"/>
        <w:jc w:val="both"/>
      </w:pPr>
      <w:r>
        <w:rPr>
          <w:sz w:val="20"/>
        </w:rPr>
        <w:t xml:space="preserve">Реализация подпрограммы 6 осуществляется в два этапа: 1 - 2014 - 2020 годы; 2 - 2021 - 2025 годы.</w:t>
      </w:r>
    </w:p>
    <w:p>
      <w:pPr>
        <w:pStyle w:val="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6</w:t>
      </w:r>
    </w:p>
    <w:p>
      <w:pPr>
        <w:pStyle w:val="0"/>
        <w:jc w:val="center"/>
      </w:pPr>
      <w:r>
        <w:rPr>
          <w:sz w:val="20"/>
        </w:rPr>
        <w:t xml:space="preserve">(в ред. </w:t>
      </w:r>
      <w:hyperlink w:history="0" r:id="rId17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20.07.2020 N 326-пп)</w:t>
      </w:r>
    </w:p>
    <w:p>
      <w:pPr>
        <w:pStyle w:val="0"/>
        <w:ind w:firstLine="540"/>
        <w:jc w:val="both"/>
      </w:pPr>
      <w:r>
        <w:rPr>
          <w:sz w:val="20"/>
        </w:rPr>
      </w:r>
    </w:p>
    <w:p>
      <w:pPr>
        <w:pStyle w:val="0"/>
        <w:ind w:firstLine="540"/>
        <w:jc w:val="both"/>
      </w:pPr>
      <w:r>
        <w:rPr>
          <w:sz w:val="20"/>
        </w:rPr>
        <w:t xml:space="preserve">В рамках решения задачи "Исполнение государственных функций и оказание государственных услуг управлением экологического и охотничьего надзора Белгородской области в соответствии с действующим законодательством" реализовывается основное мероприятие 6.1 "Обеспечение функций органов власти Белгородской области, в том числе территориальных органов". Реализация данного основного мероприятия направлена на выполнение задач по исполнению государственных функций и услуг управлением экологического и охотничьего надзора Белгородской области в соответствии с действующим законодательством, обеспечение соблюдения норм российского законодательства и законодательства Белгородской области, выполнение поручений Президента Российской Федерации, Правительства Российской Федерации, органов государственной власти области.</w:t>
      </w:r>
    </w:p>
    <w:p>
      <w:pPr>
        <w:pStyle w:val="0"/>
        <w:spacing w:before="200" w:line-rule="auto"/>
        <w:ind w:firstLine="540"/>
        <w:jc w:val="both"/>
      </w:pPr>
      <w:r>
        <w:rPr>
          <w:sz w:val="20"/>
        </w:rPr>
        <w:t xml:space="preserve">Управлением экологического и охотничьего надзора Белгородской области в рамках реализации основного мероприятия решается задача по исполнению государственных функций (оказанию государственных услуг) в соответствии с действующим законодательством.</w:t>
      </w:r>
    </w:p>
    <w:p>
      <w:pPr>
        <w:pStyle w:val="0"/>
        <w:spacing w:before="200" w:line-rule="auto"/>
        <w:ind w:firstLine="540"/>
        <w:jc w:val="both"/>
      </w:pPr>
      <w:r>
        <w:rPr>
          <w:sz w:val="20"/>
        </w:rPr>
        <w:t xml:space="preserve">Основное мероприятие 6.2 "Субвенции на осуществление отдельных государственных полномочий по рассмотрению дел об административных правонарушениях". Органы местного самоуправления муниципальных районов и городских округов наделены полномочиями по созданию административных комиссий и рассмотрению дел об административных правонарушениях, отнесенных </w:t>
      </w:r>
      <w:hyperlink w:history="0" r:id="rId175" w:tooltip="Закон Белгородской области от 04.07.2002 N 35 (ред. от 30.03.2022) &quot;Об административных правонарушениях на территории Белгородской области&quot; (принят Белгородской областной Думой 27.06.2002) {КонсультантПлюс}">
        <w:r>
          <w:rPr>
            <w:sz w:val="20"/>
            <w:color w:val="0000ff"/>
          </w:rPr>
          <w:t xml:space="preserve">законом</w:t>
        </w:r>
      </w:hyperlink>
      <w:r>
        <w:rPr>
          <w:sz w:val="20"/>
        </w:rPr>
        <w:t xml:space="preserve"> Белгородской области от 4 июля 2002 года N 35 "Об административных правонарушениях на территории Белгородской области" к подведомственности административных комиссий.</w:t>
      </w:r>
    </w:p>
    <w:p>
      <w:pPr>
        <w:pStyle w:val="0"/>
        <w:spacing w:before="200" w:line-rule="auto"/>
        <w:ind w:firstLine="540"/>
        <w:jc w:val="both"/>
      </w:pPr>
      <w:r>
        <w:rPr>
          <w:sz w:val="20"/>
        </w:rPr>
        <w:t xml:space="preserve">Финансирование расходов, связанных с осуществлением органами местного самоуправления полномочий по созданию административных комиссий и рассмотрению дел об административных правонарушениях, осуществляется за счет субвенций, предоставляемых местным бюджетам из областного бюджета.</w:t>
      </w:r>
    </w:p>
    <w:p>
      <w:pPr>
        <w:pStyle w:val="0"/>
        <w:jc w:val="both"/>
      </w:pPr>
      <w:r>
        <w:rPr>
          <w:sz w:val="20"/>
        </w:rPr>
      </w:r>
    </w:p>
    <w:p>
      <w:pPr>
        <w:pStyle w:val="2"/>
        <w:outlineLvl w:val="2"/>
        <w:jc w:val="center"/>
      </w:pPr>
      <w:r>
        <w:rPr>
          <w:sz w:val="20"/>
        </w:rPr>
        <w:t xml:space="preserve">4. Прогноз конечных результатов подпрограммы 6.</w:t>
      </w:r>
    </w:p>
    <w:p>
      <w:pPr>
        <w:pStyle w:val="2"/>
        <w:jc w:val="center"/>
      </w:pPr>
      <w:r>
        <w:rPr>
          <w:sz w:val="20"/>
        </w:rPr>
        <w:t xml:space="preserve">Перечень показателей подпрограммы 6</w:t>
      </w:r>
    </w:p>
    <w:p>
      <w:pPr>
        <w:pStyle w:val="0"/>
        <w:jc w:val="both"/>
      </w:pPr>
      <w:r>
        <w:rPr>
          <w:sz w:val="20"/>
        </w:rPr>
      </w:r>
    </w:p>
    <w:p>
      <w:pPr>
        <w:pStyle w:val="0"/>
        <w:ind w:firstLine="540"/>
        <w:jc w:val="both"/>
      </w:pPr>
      <w:r>
        <w:rPr>
          <w:sz w:val="20"/>
        </w:rPr>
        <w:t xml:space="preserve">Показателем конечного результата подпрограммы 6 является обеспечение среднего уровня достижения целевых показателей государственной программы не менее 95 процентов.</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both"/>
      </w:pPr>
      <w:r>
        <w:rPr>
          <w:sz w:val="20"/>
        </w:rPr>
      </w:r>
    </w:p>
    <w:p>
      <w:pPr>
        <w:pStyle w:val="2"/>
        <w:outlineLvl w:val="2"/>
        <w:jc w:val="center"/>
      </w:pPr>
      <w:r>
        <w:rPr>
          <w:sz w:val="20"/>
        </w:rPr>
        <w:t xml:space="preserve">5. Ресурсное обеспечение подпрограммы 6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 6)</w:t>
      </w:r>
    </w:p>
    <w:p>
      <w:pPr>
        <w:pStyle w:val="0"/>
        <w:jc w:val="center"/>
      </w:pPr>
      <w:r>
        <w:rPr>
          <w:sz w:val="20"/>
        </w:rPr>
        <w:t xml:space="preserve">(в ред. </w:t>
      </w:r>
      <w:hyperlink w:history="0" r:id="rId176"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ind w:firstLine="540"/>
        <w:jc w:val="both"/>
      </w:pPr>
      <w:r>
        <w:rPr>
          <w:sz w:val="20"/>
        </w:rPr>
      </w:r>
    </w:p>
    <w:p>
      <w:pPr>
        <w:pStyle w:val="0"/>
        <w:ind w:firstLine="540"/>
        <w:jc w:val="both"/>
      </w:pPr>
      <w:r>
        <w:rPr>
          <w:sz w:val="20"/>
        </w:rPr>
        <w:t xml:space="preserve">Общий объем финансирования подпрограммы 6 в 2014 - 2025 годах за счет средств областного бюджета составит 1270229,6 тыс. рублей (в текущих ценах), в том числе по годам:</w:t>
      </w:r>
    </w:p>
    <w:p>
      <w:pPr>
        <w:pStyle w:val="0"/>
        <w:spacing w:before="200" w:line-rule="auto"/>
        <w:ind w:firstLine="540"/>
        <w:jc w:val="both"/>
      </w:pPr>
      <w:r>
        <w:rPr>
          <w:sz w:val="20"/>
        </w:rPr>
        <w:t xml:space="preserve">2014 год - 103241 тыс. рублей;</w:t>
      </w:r>
    </w:p>
    <w:p>
      <w:pPr>
        <w:pStyle w:val="0"/>
        <w:spacing w:before="200" w:line-rule="auto"/>
        <w:ind w:firstLine="540"/>
        <w:jc w:val="both"/>
      </w:pPr>
      <w:r>
        <w:rPr>
          <w:sz w:val="20"/>
        </w:rPr>
        <w:t xml:space="preserve">2015 год - 88785 тыс. рублей;</w:t>
      </w:r>
    </w:p>
    <w:p>
      <w:pPr>
        <w:pStyle w:val="0"/>
        <w:spacing w:before="200" w:line-rule="auto"/>
        <w:ind w:firstLine="540"/>
        <w:jc w:val="both"/>
      </w:pPr>
      <w:r>
        <w:rPr>
          <w:sz w:val="20"/>
        </w:rPr>
        <w:t xml:space="preserve">2016 год - 69104 тыс. рублей;</w:t>
      </w:r>
    </w:p>
    <w:p>
      <w:pPr>
        <w:pStyle w:val="0"/>
        <w:spacing w:before="200" w:line-rule="auto"/>
        <w:ind w:firstLine="540"/>
        <w:jc w:val="both"/>
      </w:pPr>
      <w:r>
        <w:rPr>
          <w:sz w:val="20"/>
        </w:rPr>
        <w:t xml:space="preserve">2017 год - 80121 тыс. рублей;</w:t>
      </w:r>
    </w:p>
    <w:p>
      <w:pPr>
        <w:pStyle w:val="0"/>
        <w:spacing w:before="200" w:line-rule="auto"/>
        <w:ind w:firstLine="540"/>
        <w:jc w:val="both"/>
      </w:pPr>
      <w:r>
        <w:rPr>
          <w:sz w:val="20"/>
        </w:rPr>
        <w:t xml:space="preserve">2018 год - 107708 тыс. рублей;</w:t>
      </w:r>
    </w:p>
    <w:p>
      <w:pPr>
        <w:pStyle w:val="0"/>
        <w:spacing w:before="200" w:line-rule="auto"/>
        <w:ind w:firstLine="540"/>
        <w:jc w:val="both"/>
      </w:pPr>
      <w:r>
        <w:rPr>
          <w:sz w:val="20"/>
        </w:rPr>
        <w:t xml:space="preserve">2019 год - 110499,9 тыс. рублей;</w:t>
      </w:r>
    </w:p>
    <w:p>
      <w:pPr>
        <w:pStyle w:val="0"/>
        <w:spacing w:before="200" w:line-rule="auto"/>
        <w:ind w:firstLine="540"/>
        <w:jc w:val="both"/>
      </w:pPr>
      <w:r>
        <w:rPr>
          <w:sz w:val="20"/>
        </w:rPr>
        <w:t xml:space="preserve">2020 год - 102159,0 тыс. рублей;</w:t>
      </w:r>
    </w:p>
    <w:p>
      <w:pPr>
        <w:pStyle w:val="0"/>
        <w:spacing w:before="200" w:line-rule="auto"/>
        <w:ind w:firstLine="540"/>
        <w:jc w:val="both"/>
      </w:pPr>
      <w:r>
        <w:rPr>
          <w:sz w:val="20"/>
        </w:rPr>
        <w:t xml:space="preserve">2021 год - 113666,0 тыс. рублей;</w:t>
      </w:r>
    </w:p>
    <w:p>
      <w:pPr>
        <w:pStyle w:val="0"/>
        <w:spacing w:before="200" w:line-rule="auto"/>
        <w:ind w:firstLine="540"/>
        <w:jc w:val="both"/>
      </w:pPr>
      <w:r>
        <w:rPr>
          <w:sz w:val="20"/>
        </w:rPr>
        <w:t xml:space="preserve">2022 год - 134073,7 тыс. рублей;</w:t>
      </w:r>
    </w:p>
    <w:p>
      <w:pPr>
        <w:pStyle w:val="0"/>
        <w:spacing w:before="200" w:line-rule="auto"/>
        <w:ind w:firstLine="540"/>
        <w:jc w:val="both"/>
      </w:pPr>
      <w:r>
        <w:rPr>
          <w:sz w:val="20"/>
        </w:rPr>
        <w:t xml:space="preserve">2023 год - 115845,0 тыс. рублей;</w:t>
      </w:r>
    </w:p>
    <w:p>
      <w:pPr>
        <w:pStyle w:val="0"/>
        <w:spacing w:before="200" w:line-rule="auto"/>
        <w:ind w:firstLine="540"/>
        <w:jc w:val="both"/>
      </w:pPr>
      <w:r>
        <w:rPr>
          <w:sz w:val="20"/>
        </w:rPr>
        <w:t xml:space="preserve">2024 год - 120576,0 тыс. рублей;</w:t>
      </w:r>
    </w:p>
    <w:p>
      <w:pPr>
        <w:pStyle w:val="0"/>
        <w:spacing w:before="200" w:line-rule="auto"/>
        <w:ind w:firstLine="540"/>
        <w:jc w:val="both"/>
      </w:pPr>
      <w:r>
        <w:rPr>
          <w:sz w:val="20"/>
        </w:rPr>
        <w:t xml:space="preserve">2025 год - 124451,0 тыс. рублей.</w:t>
      </w:r>
    </w:p>
    <w:p>
      <w:pPr>
        <w:pStyle w:val="0"/>
        <w:spacing w:before="200" w:line-rule="auto"/>
        <w:ind w:firstLine="540"/>
        <w:jc w:val="both"/>
      </w:pPr>
      <w:r>
        <w:rPr>
          <w:sz w:val="20"/>
        </w:rPr>
        <w:t xml:space="preserve">Ресурсное обеспечение и прогнозная (справочная) оценка расходов на реализацию мероприятий подпрограммы 6 из различных источников финансирования и ресурсное обеспечение реализации подпрограммы 6 государственной программы за счет средств бюджета Белгородской области по годам представлены соответственно в </w:t>
      </w:r>
      <w:hyperlink w:history="0" w:anchor="P4186" w:tooltip="Приложение N 3">
        <w:r>
          <w:rPr>
            <w:sz w:val="20"/>
            <w:color w:val="0000ff"/>
          </w:rPr>
          <w:t xml:space="preserve">приложениях N 3</w:t>
        </w:r>
      </w:hyperlink>
      <w:r>
        <w:rPr>
          <w:sz w:val="20"/>
        </w:rPr>
        <w:t xml:space="preserve"> и </w:t>
      </w:r>
      <w:hyperlink w:history="0" w:anchor="P7853" w:tooltip="Приложение N 4">
        <w:r>
          <w:rPr>
            <w:sz w:val="20"/>
            <w:color w:val="0000ff"/>
          </w:rPr>
          <w:t xml:space="preserve">N 4</w:t>
        </w:r>
      </w:hyperlink>
      <w:r>
        <w:rPr>
          <w:sz w:val="20"/>
        </w:rPr>
        <w:t xml:space="preserve"> к государственной программе.</w:t>
      </w:r>
    </w:p>
    <w:p>
      <w:pPr>
        <w:pStyle w:val="0"/>
        <w:spacing w:before="200" w:line-rule="auto"/>
        <w:ind w:firstLine="540"/>
        <w:jc w:val="both"/>
      </w:pPr>
      <w:r>
        <w:rPr>
          <w:sz w:val="20"/>
        </w:rPr>
        <w:t xml:space="preserve">Объем финансового обеспечения подпрограммы 6 подлежит ежегодному уточнению в рамках подготовки проекта закона области об областном бюджете на очередной финансовый год и на плановый период.</w:t>
      </w:r>
    </w:p>
    <w:p>
      <w:pPr>
        <w:pStyle w:val="0"/>
        <w:jc w:val="both"/>
      </w:pPr>
      <w:r>
        <w:rPr>
          <w:sz w:val="20"/>
        </w:rPr>
      </w:r>
    </w:p>
    <w:bookmarkStart w:id="1966" w:name="P1966"/>
    <w:bookmarkEnd w:id="1966"/>
    <w:p>
      <w:pPr>
        <w:pStyle w:val="2"/>
        <w:outlineLvl w:val="1"/>
        <w:jc w:val="center"/>
      </w:pPr>
      <w:r>
        <w:rPr>
          <w:sz w:val="20"/>
        </w:rPr>
        <w:t xml:space="preserve">Паспорт</w:t>
      </w:r>
    </w:p>
    <w:p>
      <w:pPr>
        <w:pStyle w:val="2"/>
        <w:jc w:val="center"/>
      </w:pPr>
      <w:r>
        <w:rPr>
          <w:sz w:val="20"/>
        </w:rPr>
        <w:t xml:space="preserve">подпрограммы 7 "Обращение с твердыми коммунальными</w:t>
      </w:r>
    </w:p>
    <w:p>
      <w:pPr>
        <w:pStyle w:val="2"/>
        <w:jc w:val="center"/>
      </w:pPr>
      <w:r>
        <w:rPr>
          <w:sz w:val="20"/>
        </w:rPr>
        <w:t xml:space="preserve">отходами на территории Белгородской области"</w:t>
      </w:r>
    </w:p>
    <w:p>
      <w:pPr>
        <w:pStyle w:val="0"/>
        <w:jc w:val="center"/>
      </w:pPr>
      <w:r>
        <w:rPr>
          <w:sz w:val="20"/>
        </w:rPr>
        <w:t xml:space="preserve">(в ред. </w:t>
      </w:r>
      <w:hyperlink w:history="0" r:id="rId177"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25.10.2021 N 483-пп)</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6236"/>
      </w:tblGrid>
      <w:tr>
        <w:tc>
          <w:tcPr>
            <w:tcW w:w="454" w:type="dxa"/>
          </w:tcPr>
          <w:p>
            <w:pPr>
              <w:pStyle w:val="0"/>
              <w:jc w:val="center"/>
            </w:pPr>
            <w:r>
              <w:rPr>
                <w:sz w:val="20"/>
              </w:rPr>
              <w:t xml:space="preserve">N п/п</w:t>
            </w:r>
          </w:p>
        </w:tc>
        <w:tc>
          <w:tcPr>
            <w:gridSpan w:val="2"/>
            <w:tcW w:w="8560" w:type="dxa"/>
          </w:tcPr>
          <w:p>
            <w:pPr>
              <w:pStyle w:val="0"/>
              <w:jc w:val="both"/>
            </w:pPr>
            <w:r>
              <w:rPr>
                <w:sz w:val="20"/>
              </w:rPr>
              <w:t xml:space="preserve">Наименование подпрограммы 7 "Обращение с твердыми коммунальными отходами на территории Белгородской области" (далее - подпрограмма 7)</w:t>
            </w:r>
          </w:p>
        </w:tc>
      </w:tr>
      <w:tr>
        <w:tblPrEx>
          <w:tblBorders>
            <w:insideH w:val="nil"/>
          </w:tblBorders>
        </w:tblPrEx>
        <w:tc>
          <w:tcPr>
            <w:tcW w:w="454" w:type="dxa"/>
            <w:tcBorders>
              <w:bottom w:val="nil"/>
            </w:tcBorders>
          </w:tcPr>
          <w:p>
            <w:pPr>
              <w:pStyle w:val="0"/>
              <w:jc w:val="center"/>
            </w:pPr>
            <w:r>
              <w:rPr>
                <w:sz w:val="20"/>
              </w:rPr>
              <w:t xml:space="preserve">1</w:t>
            </w:r>
          </w:p>
        </w:tc>
        <w:tc>
          <w:tcPr>
            <w:tcW w:w="2324" w:type="dxa"/>
            <w:tcBorders>
              <w:bottom w:val="nil"/>
            </w:tcBorders>
          </w:tcPr>
          <w:p>
            <w:pPr>
              <w:pStyle w:val="0"/>
            </w:pPr>
            <w:r>
              <w:rPr>
                <w:sz w:val="20"/>
              </w:rPr>
              <w:t xml:space="preserve">Соисполнитель, ответственный за реализацию подпрограммы 7</w:t>
            </w:r>
          </w:p>
        </w:tc>
        <w:tc>
          <w:tcPr>
            <w:tcW w:w="6236" w:type="dxa"/>
            <w:tcBorders>
              <w:bottom w:val="nil"/>
            </w:tcBorders>
          </w:tcPr>
          <w:p>
            <w:pPr>
              <w:pStyle w:val="0"/>
              <w:jc w:val="both"/>
            </w:pPr>
            <w:r>
              <w:rPr>
                <w:sz w:val="20"/>
              </w:rPr>
              <w:t xml:space="preserve">Министерство жилищно-коммунального хозяйства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78"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blPrEx>
          <w:tblBorders>
            <w:insideH w:val="nil"/>
          </w:tblBorders>
        </w:tblPrEx>
        <w:tc>
          <w:tcPr>
            <w:tcW w:w="454" w:type="dxa"/>
            <w:tcBorders>
              <w:bottom w:val="nil"/>
            </w:tcBorders>
          </w:tcPr>
          <w:p>
            <w:pPr>
              <w:pStyle w:val="0"/>
              <w:jc w:val="center"/>
            </w:pPr>
            <w:r>
              <w:rPr>
                <w:sz w:val="20"/>
              </w:rPr>
              <w:t xml:space="preserve">2</w:t>
            </w:r>
          </w:p>
        </w:tc>
        <w:tc>
          <w:tcPr>
            <w:tcW w:w="2324" w:type="dxa"/>
            <w:tcBorders>
              <w:bottom w:val="nil"/>
            </w:tcBorders>
          </w:tcPr>
          <w:p>
            <w:pPr>
              <w:pStyle w:val="0"/>
            </w:pPr>
            <w:r>
              <w:rPr>
                <w:sz w:val="20"/>
              </w:rPr>
              <w:t xml:space="preserve">Участники подпрограммы 7</w:t>
            </w:r>
          </w:p>
        </w:tc>
        <w:tc>
          <w:tcPr>
            <w:tcW w:w="6236" w:type="dxa"/>
            <w:tcBorders>
              <w:bottom w:val="nil"/>
            </w:tcBorders>
          </w:tcPr>
          <w:p>
            <w:pPr>
              <w:pStyle w:val="0"/>
              <w:jc w:val="both"/>
            </w:pPr>
            <w:r>
              <w:rPr>
                <w:sz w:val="20"/>
              </w:rPr>
              <w:t xml:space="preserve">Министерство жилищно-коммунального хозяйства Белгородской области</w:t>
            </w:r>
          </w:p>
        </w:tc>
      </w:tr>
      <w:tr>
        <w:tblPrEx>
          <w:tblBorders>
            <w:insideH w:val="nil"/>
          </w:tblBorders>
        </w:tblPrEx>
        <w:tc>
          <w:tcPr>
            <w:gridSpan w:val="3"/>
            <w:tcW w:w="9014" w:type="dxa"/>
            <w:tcBorders>
              <w:top w:val="nil"/>
            </w:tcBorders>
          </w:tcPr>
          <w:p>
            <w:pPr>
              <w:pStyle w:val="0"/>
              <w:jc w:val="both"/>
            </w:pPr>
            <w:r>
              <w:rPr>
                <w:sz w:val="20"/>
              </w:rPr>
              <w:t xml:space="preserve">(в ред. </w:t>
            </w:r>
            <w:hyperlink w:history="0" r:id="rId179"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c>
          <w:tcPr>
            <w:tcW w:w="454" w:type="dxa"/>
          </w:tcPr>
          <w:p>
            <w:pPr>
              <w:pStyle w:val="0"/>
              <w:jc w:val="center"/>
            </w:pPr>
            <w:r>
              <w:rPr>
                <w:sz w:val="20"/>
              </w:rPr>
              <w:t xml:space="preserve">3</w:t>
            </w:r>
          </w:p>
        </w:tc>
        <w:tc>
          <w:tcPr>
            <w:tcW w:w="2324" w:type="dxa"/>
          </w:tcPr>
          <w:p>
            <w:pPr>
              <w:pStyle w:val="0"/>
            </w:pPr>
            <w:r>
              <w:rPr>
                <w:sz w:val="20"/>
              </w:rPr>
              <w:t xml:space="preserve">Цель подпрограммы 7</w:t>
            </w:r>
          </w:p>
        </w:tc>
        <w:tc>
          <w:tcPr>
            <w:tcW w:w="6236" w:type="dxa"/>
          </w:tcPr>
          <w:p>
            <w:pPr>
              <w:pStyle w:val="0"/>
              <w:jc w:val="both"/>
            </w:pPr>
            <w:r>
              <w:rPr>
                <w:sz w:val="20"/>
              </w:rPr>
              <w:t xml:space="preserve">Повышение экологической безопасности населения на территории Белгородской области, создание устойчивой системы обращения с твердыми коммунальными отходами</w:t>
            </w:r>
          </w:p>
        </w:tc>
      </w:tr>
      <w:tr>
        <w:tc>
          <w:tcPr>
            <w:tcW w:w="454" w:type="dxa"/>
          </w:tcPr>
          <w:p>
            <w:pPr>
              <w:pStyle w:val="0"/>
              <w:jc w:val="center"/>
            </w:pPr>
            <w:r>
              <w:rPr>
                <w:sz w:val="20"/>
              </w:rPr>
              <w:t xml:space="preserve">4</w:t>
            </w:r>
          </w:p>
        </w:tc>
        <w:tc>
          <w:tcPr>
            <w:tcW w:w="2324" w:type="dxa"/>
          </w:tcPr>
          <w:p>
            <w:pPr>
              <w:pStyle w:val="0"/>
            </w:pPr>
            <w:r>
              <w:rPr>
                <w:sz w:val="20"/>
              </w:rPr>
              <w:t xml:space="preserve">Задачи подпрограммы 7</w:t>
            </w:r>
          </w:p>
        </w:tc>
        <w:tc>
          <w:tcPr>
            <w:tcW w:w="6236" w:type="dxa"/>
          </w:tcPr>
          <w:p>
            <w:pPr>
              <w:pStyle w:val="0"/>
              <w:jc w:val="both"/>
            </w:pPr>
            <w:r>
              <w:rPr>
                <w:sz w:val="20"/>
              </w:rPr>
              <w:t xml:space="preserve">1.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w:t>
            </w:r>
          </w:p>
          <w:p>
            <w:pPr>
              <w:pStyle w:val="0"/>
              <w:jc w:val="both"/>
            </w:pPr>
            <w:r>
              <w:rPr>
                <w:sz w:val="20"/>
              </w:rPr>
              <w:t xml:space="preserve">2.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pPr>
              <w:pStyle w:val="0"/>
              <w:jc w:val="both"/>
            </w:pPr>
            <w:r>
              <w:rPr>
                <w:sz w:val="20"/>
              </w:rPr>
              <w:t xml:space="preserve">3.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tc>
      </w:tr>
      <w:tr>
        <w:tc>
          <w:tcPr>
            <w:tcW w:w="454" w:type="dxa"/>
          </w:tcPr>
          <w:p>
            <w:pPr>
              <w:pStyle w:val="0"/>
              <w:jc w:val="center"/>
            </w:pPr>
            <w:r>
              <w:rPr>
                <w:sz w:val="20"/>
              </w:rPr>
              <w:t xml:space="preserve">5</w:t>
            </w:r>
          </w:p>
        </w:tc>
        <w:tc>
          <w:tcPr>
            <w:tcW w:w="2324" w:type="dxa"/>
          </w:tcPr>
          <w:p>
            <w:pPr>
              <w:pStyle w:val="0"/>
            </w:pPr>
            <w:r>
              <w:rPr>
                <w:sz w:val="20"/>
              </w:rPr>
              <w:t xml:space="preserve">Сроки и этапы реализации подпрограммы 7</w:t>
            </w:r>
          </w:p>
        </w:tc>
        <w:tc>
          <w:tcPr>
            <w:tcW w:w="6236" w:type="dxa"/>
          </w:tcPr>
          <w:p>
            <w:pPr>
              <w:pStyle w:val="0"/>
              <w:jc w:val="both"/>
            </w:pPr>
            <w:r>
              <w:rPr>
                <w:sz w:val="20"/>
              </w:rPr>
              <w:t xml:space="preserve">2018 - 2024 годы.</w:t>
            </w:r>
          </w:p>
          <w:p>
            <w:pPr>
              <w:pStyle w:val="0"/>
              <w:jc w:val="both"/>
            </w:pPr>
            <w:r>
              <w:rPr>
                <w:sz w:val="20"/>
              </w:rPr>
              <w:t xml:space="preserve">Этапы реализации не выделяются</w:t>
            </w:r>
          </w:p>
        </w:tc>
      </w:tr>
      <w:tr>
        <w:tblPrEx>
          <w:tblBorders>
            <w:insideH w:val="nil"/>
          </w:tblBorders>
        </w:tblPrEx>
        <w:tc>
          <w:tcPr>
            <w:tcW w:w="454" w:type="dxa"/>
            <w:tcBorders>
              <w:bottom w:val="nil"/>
            </w:tcBorders>
          </w:tcPr>
          <w:p>
            <w:pPr>
              <w:pStyle w:val="0"/>
              <w:jc w:val="center"/>
            </w:pPr>
            <w:r>
              <w:rPr>
                <w:sz w:val="20"/>
              </w:rPr>
              <w:t xml:space="preserve">6</w:t>
            </w:r>
          </w:p>
        </w:tc>
        <w:tc>
          <w:tcPr>
            <w:tcW w:w="2324" w:type="dxa"/>
            <w:tcBorders>
              <w:bottom w:val="nil"/>
            </w:tcBorders>
          </w:tcPr>
          <w:p>
            <w:pPr>
              <w:pStyle w:val="0"/>
            </w:pPr>
            <w:r>
              <w:rPr>
                <w:sz w:val="20"/>
              </w:rPr>
              <w:t xml:space="preserve">Объем бюджетных ассигнований подпрограммы 7 за счет средств областного бюджета, а также прогнозный объем средств, привлекаемых из других источников</w:t>
            </w:r>
          </w:p>
        </w:tc>
        <w:tc>
          <w:tcPr>
            <w:tcW w:w="6236" w:type="dxa"/>
            <w:tcBorders>
              <w:bottom w:val="nil"/>
            </w:tcBorders>
          </w:tcPr>
          <w:p>
            <w:pPr>
              <w:pStyle w:val="0"/>
              <w:jc w:val="both"/>
            </w:pPr>
            <w:r>
              <w:rPr>
                <w:sz w:val="20"/>
              </w:rPr>
              <w:t xml:space="preserve">Общий объем финансирования подпрограммы 7 в 2018 - 2024 годах за счет средств всех источников финансирования составит 3007997,9 тыс. рублей.</w:t>
            </w:r>
          </w:p>
          <w:p>
            <w:pPr>
              <w:pStyle w:val="0"/>
              <w:jc w:val="both"/>
            </w:pPr>
            <w:r>
              <w:rPr>
                <w:sz w:val="20"/>
              </w:rPr>
              <w:t xml:space="preserve">Объем финансирования подпрограммы 7 в 2018 - 2024 годах:</w:t>
            </w:r>
          </w:p>
          <w:p>
            <w:pPr>
              <w:pStyle w:val="0"/>
              <w:jc w:val="both"/>
            </w:pPr>
            <w:r>
              <w:rPr>
                <w:sz w:val="20"/>
              </w:rPr>
              <w:t xml:space="preserve">за счет областного бюджета - 854954,6 тыс. рублей, в том числе по годам:</w:t>
            </w:r>
          </w:p>
          <w:p>
            <w:pPr>
              <w:pStyle w:val="0"/>
              <w:jc w:val="both"/>
            </w:pPr>
            <w:r>
              <w:rPr>
                <w:sz w:val="20"/>
              </w:rPr>
              <w:t xml:space="preserve">2018 год - 5000,00 тыс. рублей;</w:t>
            </w:r>
          </w:p>
          <w:p>
            <w:pPr>
              <w:pStyle w:val="0"/>
              <w:jc w:val="both"/>
            </w:pPr>
            <w:r>
              <w:rPr>
                <w:sz w:val="20"/>
              </w:rPr>
              <w:t xml:space="preserve">2019 год - 25564,0 тыс. рублей;</w:t>
            </w:r>
          </w:p>
          <w:p>
            <w:pPr>
              <w:pStyle w:val="0"/>
              <w:jc w:val="both"/>
            </w:pPr>
            <w:r>
              <w:rPr>
                <w:sz w:val="20"/>
              </w:rPr>
              <w:t xml:space="preserve">2020 год - 63726,4 тыс. рублей;</w:t>
            </w:r>
          </w:p>
          <w:p>
            <w:pPr>
              <w:pStyle w:val="0"/>
              <w:jc w:val="both"/>
            </w:pPr>
            <w:r>
              <w:rPr>
                <w:sz w:val="20"/>
              </w:rPr>
              <w:t xml:space="preserve">2021 год - 41491,2 тыс. рублей;</w:t>
            </w:r>
          </w:p>
          <w:p>
            <w:pPr>
              <w:pStyle w:val="0"/>
              <w:jc w:val="both"/>
            </w:pPr>
            <w:r>
              <w:rPr>
                <w:sz w:val="20"/>
              </w:rPr>
              <w:t xml:space="preserve">2022 год - 142900,7 тыс. рублей;</w:t>
            </w:r>
          </w:p>
          <w:p>
            <w:pPr>
              <w:pStyle w:val="0"/>
              <w:jc w:val="both"/>
            </w:pPr>
            <w:r>
              <w:rPr>
                <w:sz w:val="20"/>
              </w:rPr>
              <w:t xml:space="preserve">2023 год - 319002,8 тыс. рублей;</w:t>
            </w:r>
          </w:p>
          <w:p>
            <w:pPr>
              <w:pStyle w:val="0"/>
              <w:jc w:val="both"/>
            </w:pPr>
            <w:r>
              <w:rPr>
                <w:sz w:val="20"/>
              </w:rPr>
              <w:t xml:space="preserve">2024 год - 257269,5 тыс. рублей;</w:t>
            </w:r>
          </w:p>
          <w:p>
            <w:pPr>
              <w:pStyle w:val="0"/>
              <w:jc w:val="both"/>
            </w:pPr>
            <w:r>
              <w:rPr>
                <w:sz w:val="20"/>
              </w:rPr>
              <w:t xml:space="preserve">за счет средств федерального бюджета - 985079,3 тыс. рублей;</w:t>
            </w:r>
          </w:p>
          <w:p>
            <w:pPr>
              <w:pStyle w:val="0"/>
              <w:jc w:val="both"/>
            </w:pPr>
            <w:r>
              <w:rPr>
                <w:sz w:val="20"/>
              </w:rPr>
              <w:t xml:space="preserve">за счет средств консолидированных бюджетов муниципальных образований - 179144,2 тыс. рублей;</w:t>
            </w:r>
          </w:p>
          <w:p>
            <w:pPr>
              <w:pStyle w:val="0"/>
              <w:jc w:val="both"/>
            </w:pPr>
            <w:r>
              <w:rPr>
                <w:sz w:val="20"/>
              </w:rPr>
              <w:t xml:space="preserve">за счет средств, привлекаемых из других источников, - 988819,8 тыс. рублей</w:t>
            </w:r>
          </w:p>
        </w:tc>
      </w:tr>
      <w:tr>
        <w:tblPrEx>
          <w:tblBorders>
            <w:insideH w:val="nil"/>
          </w:tblBorders>
        </w:tblPrEx>
        <w:tc>
          <w:tcPr>
            <w:gridSpan w:val="3"/>
            <w:tcW w:w="9014" w:type="dxa"/>
            <w:tcBorders>
              <w:top w:val="nil"/>
            </w:tcBorders>
          </w:tcPr>
          <w:p>
            <w:pPr>
              <w:pStyle w:val="0"/>
              <w:jc w:val="both"/>
            </w:pPr>
            <w:r>
              <w:rPr>
                <w:sz w:val="20"/>
              </w:rPr>
              <w:t xml:space="preserve">(п. 6 в ред. </w:t>
            </w:r>
            <w:hyperlink w:history="0" r:id="rId180"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tc>
      </w:tr>
      <w:tr>
        <w:tc>
          <w:tcPr>
            <w:tcW w:w="454" w:type="dxa"/>
          </w:tcPr>
          <w:p>
            <w:pPr>
              <w:pStyle w:val="0"/>
              <w:jc w:val="center"/>
            </w:pPr>
            <w:r>
              <w:rPr>
                <w:sz w:val="20"/>
              </w:rPr>
              <w:t xml:space="preserve">7</w:t>
            </w:r>
          </w:p>
        </w:tc>
        <w:tc>
          <w:tcPr>
            <w:tcW w:w="2324" w:type="dxa"/>
          </w:tcPr>
          <w:p>
            <w:pPr>
              <w:pStyle w:val="0"/>
            </w:pPr>
            <w:r>
              <w:rPr>
                <w:sz w:val="20"/>
              </w:rPr>
              <w:t xml:space="preserve">Конечные результаты реализации подпрограммы 7</w:t>
            </w:r>
          </w:p>
        </w:tc>
        <w:tc>
          <w:tcPr>
            <w:tcW w:w="6236" w:type="dxa"/>
          </w:tcPr>
          <w:p>
            <w:pPr>
              <w:pStyle w:val="0"/>
              <w:jc w:val="both"/>
            </w:pPr>
            <w:r>
              <w:rPr>
                <w:sz w:val="20"/>
              </w:rPr>
              <w:t xml:space="preserve">Планируется:</w:t>
            </w:r>
          </w:p>
          <w:p>
            <w:pPr>
              <w:pStyle w:val="0"/>
              <w:jc w:val="both"/>
            </w:pPr>
            <w:r>
              <w:rPr>
                <w:sz w:val="20"/>
              </w:rPr>
              <w:t xml:space="preserve">1. Доля обработанных твердых коммунальных отходов в общем объеме твердых коммунальных отходов - 8,1 процента в 2018 году.</w:t>
            </w:r>
          </w:p>
          <w:p>
            <w:pPr>
              <w:pStyle w:val="0"/>
              <w:jc w:val="both"/>
            </w:pPr>
            <w:r>
              <w:rPr>
                <w:sz w:val="20"/>
              </w:rPr>
              <w:t xml:space="preserve">2. Увеличение доли охвата потребителей услугой по обращению с твердыми коммунальными отходами до 100 процентов к 2020 году.</w:t>
            </w:r>
          </w:p>
          <w:p>
            <w:pPr>
              <w:pStyle w:val="0"/>
              <w:jc w:val="both"/>
            </w:pPr>
            <w:r>
              <w:rPr>
                <w:sz w:val="20"/>
              </w:rPr>
              <w:t xml:space="preserve">3. Проведение мероприятий по эколого-просветительской и образовательной деятельности - не менее 48 единиц к 2024 году</w:t>
            </w:r>
          </w:p>
        </w:tc>
      </w:tr>
    </w:tbl>
    <w:p>
      <w:pPr>
        <w:pStyle w:val="0"/>
        <w:jc w:val="both"/>
      </w:pPr>
      <w:r>
        <w:rPr>
          <w:sz w:val="20"/>
        </w:rPr>
      </w:r>
    </w:p>
    <w:p>
      <w:pPr>
        <w:pStyle w:val="2"/>
        <w:outlineLvl w:val="2"/>
        <w:jc w:val="center"/>
      </w:pPr>
      <w:r>
        <w:rPr>
          <w:sz w:val="20"/>
        </w:rPr>
        <w:t xml:space="preserve">1. Характеристика сферы реализации подпрограммы 7, описание</w:t>
      </w:r>
    </w:p>
    <w:p>
      <w:pPr>
        <w:pStyle w:val="2"/>
        <w:jc w:val="center"/>
      </w:pPr>
      <w:r>
        <w:rPr>
          <w:sz w:val="20"/>
        </w:rPr>
        <w:t xml:space="preserve">основных проблем в указанной сфере и прогноз развития</w:t>
      </w:r>
    </w:p>
    <w:p>
      <w:pPr>
        <w:pStyle w:val="0"/>
        <w:jc w:val="both"/>
      </w:pPr>
      <w:r>
        <w:rPr>
          <w:sz w:val="20"/>
        </w:rPr>
      </w:r>
    </w:p>
    <w:p>
      <w:pPr>
        <w:pStyle w:val="0"/>
        <w:ind w:firstLine="540"/>
        <w:jc w:val="both"/>
      </w:pPr>
      <w:r>
        <w:rPr>
          <w:sz w:val="20"/>
        </w:rPr>
        <w:t xml:space="preserve">Ежегодно на территории Белгородской области образуется около 599 тыс. тонн твердых коммунальных отходов (далее - ТКО).</w:t>
      </w:r>
    </w:p>
    <w:p>
      <w:pPr>
        <w:pStyle w:val="0"/>
        <w:spacing w:before="200" w:line-rule="auto"/>
        <w:ind w:firstLine="540"/>
        <w:jc w:val="both"/>
      </w:pPr>
      <w:r>
        <w:rPr>
          <w:sz w:val="20"/>
        </w:rPr>
        <w:t xml:space="preserve">Рост численности населения в городах и уровень социально-экономического развития региона сопряжены с увеличением количества образующихся отходов. Неправильный сбор, несвоевременное удаление, неудовлетворительное обезвреживание - все это наносит существенный экологический ущерб окружающей среде. Выбор оптимального метода и технологии накопления и удаления отходов базируется, прежде всего, на недопущении обострения социальных аспектов и повышении экономической эффективности процессов обращения с отходами, рациональном использовании земельных ресурсов.</w:t>
      </w:r>
    </w:p>
    <w:p>
      <w:pPr>
        <w:pStyle w:val="0"/>
        <w:spacing w:before="200" w:line-rule="auto"/>
        <w:ind w:firstLine="540"/>
        <w:jc w:val="both"/>
      </w:pPr>
      <w:r>
        <w:rPr>
          <w:sz w:val="20"/>
        </w:rPr>
        <w:t xml:space="preserve">Отсутствие развитой сети по обработке, утилизации и обезвреживанию отходов приводит к тому, что на захоронение без предварительного извлечения полезных компонентов поступает более 95 процентов ТКО.</w:t>
      </w:r>
    </w:p>
    <w:p>
      <w:pPr>
        <w:pStyle w:val="0"/>
        <w:spacing w:before="200" w:line-rule="auto"/>
        <w:ind w:firstLine="540"/>
        <w:jc w:val="both"/>
      </w:pPr>
      <w:r>
        <w:rPr>
          <w:sz w:val="20"/>
        </w:rPr>
        <w:t xml:space="preserve">Основными проблемами системы обращения с ТКО в Белгородской области являются:</w:t>
      </w:r>
    </w:p>
    <w:p>
      <w:pPr>
        <w:pStyle w:val="0"/>
        <w:spacing w:before="200" w:line-rule="auto"/>
        <w:ind w:firstLine="540"/>
        <w:jc w:val="both"/>
      </w:pPr>
      <w:r>
        <w:rPr>
          <w:sz w:val="20"/>
        </w:rPr>
        <w:t xml:space="preserve">1. Неудовлетворительное состояние инфраструктуры системы обращения с ТКО в некоторых муниципальных районах и городских округах Белгородской области.</w:t>
      </w:r>
    </w:p>
    <w:p>
      <w:pPr>
        <w:pStyle w:val="0"/>
        <w:spacing w:before="200" w:line-rule="auto"/>
        <w:ind w:firstLine="540"/>
        <w:jc w:val="both"/>
      </w:pPr>
      <w:r>
        <w:rPr>
          <w:sz w:val="20"/>
        </w:rPr>
        <w:t xml:space="preserve">2. Малая доля сортируемых и утилизируемых ТКО на территории области.</w:t>
      </w:r>
    </w:p>
    <w:p>
      <w:pPr>
        <w:pStyle w:val="0"/>
        <w:spacing w:before="200" w:line-rule="auto"/>
        <w:ind w:firstLine="540"/>
        <w:jc w:val="both"/>
      </w:pPr>
      <w:r>
        <w:rPr>
          <w:sz w:val="20"/>
        </w:rPr>
        <w:t xml:space="preserve">3. Загрязнение окружающей среды от ТКО.</w:t>
      </w:r>
    </w:p>
    <w:p>
      <w:pPr>
        <w:pStyle w:val="0"/>
        <w:spacing w:before="200" w:line-rule="auto"/>
        <w:ind w:firstLine="540"/>
        <w:jc w:val="both"/>
      </w:pPr>
      <w:r>
        <w:rPr>
          <w:sz w:val="20"/>
        </w:rPr>
        <w:t xml:space="preserve">4. Низкий уровень экологической культуры населения области.</w:t>
      </w:r>
    </w:p>
    <w:p>
      <w:pPr>
        <w:pStyle w:val="0"/>
        <w:spacing w:before="200" w:line-rule="auto"/>
        <w:ind w:firstLine="540"/>
        <w:jc w:val="both"/>
      </w:pPr>
      <w:r>
        <w:rPr>
          <w:sz w:val="20"/>
        </w:rPr>
        <w:t xml:space="preserve">В соответствии с Федеральным </w:t>
      </w:r>
      <w:hyperlink w:history="0" r:id="rId181" w:tooltip="Федеральный закон от 10.01.2002 N 7-ФЗ (ред. от 14.07.2022) &quot;Об охране окружающей среды&quot; (с изм. и доп., вступ. в силу с 01.03.2023) {КонсультантПлюс}">
        <w:r>
          <w:rPr>
            <w:sz w:val="20"/>
            <w:color w:val="0000ff"/>
          </w:rPr>
          <w:t xml:space="preserve">законом</w:t>
        </w:r>
      </w:hyperlink>
      <w:r>
        <w:rPr>
          <w:sz w:val="20"/>
        </w:rPr>
        <w:t xml:space="preserve"> от 10 января 2002 года N 7-ФЗ "Об охране окружающей среды" на территории Белгородской области запрещено захоронение продукции, утратившей свои потребительские свойства и содержащей озоноразрушающие вещества, в объектах размещения отходов производства и потребления без предварительной рекуперации данных веществ из указанной продукции в целях их восстановления для дальнейшей рециркуляции или уничтожения.</w:t>
      </w:r>
    </w:p>
    <w:p>
      <w:pPr>
        <w:pStyle w:val="0"/>
        <w:spacing w:before="200" w:line-rule="auto"/>
        <w:ind w:firstLine="540"/>
        <w:jc w:val="both"/>
      </w:pPr>
      <w:r>
        <w:rPr>
          <w:sz w:val="20"/>
        </w:rPr>
        <w:t xml:space="preserve">В образующихся ТКО содержатся такие полезные компоненты, как бумага, картон, полимерные материалы, стекло и другие компоненты, которые могут быть повторно использованы. Поэтому правильная организация накопления и переработки указанных отходов позволит существенно сократить объемы ТКО, направленные на захоронение, а также сократить потребление первичных природных ресурсов за счет повторной переработки.</w:t>
      </w:r>
    </w:p>
    <w:p>
      <w:pPr>
        <w:pStyle w:val="0"/>
        <w:spacing w:before="200" w:line-rule="auto"/>
        <w:ind w:firstLine="540"/>
        <w:jc w:val="both"/>
      </w:pPr>
      <w:r>
        <w:rPr>
          <w:sz w:val="20"/>
        </w:rPr>
        <w:t xml:space="preserve">Согласно проведенному анализу морфологического состава ТКО значения в процентном соотношении основных фракций ТКО по Белгородской области составляют: полезная фракция (макулатура, металл, стекло, ПЭТ) - 19 процентов; пищевые отходы - 36,8 процента; растительные остатки - 7,8 процента; неутилизируемые отходы - 36,4 процента (смет, кожа, резина, средства гигиены и подобное).</w:t>
      </w:r>
    </w:p>
    <w:p>
      <w:pPr>
        <w:pStyle w:val="0"/>
        <w:spacing w:before="200" w:line-rule="auto"/>
        <w:ind w:firstLine="540"/>
        <w:jc w:val="both"/>
      </w:pPr>
      <w:r>
        <w:rPr>
          <w:sz w:val="20"/>
        </w:rPr>
        <w:t xml:space="preserve">Извлечение ценных составляющих из объема ТКО должно осуществляться на постоянной основе с увеличением процента отбора полезных фракций и внедрением технологий по переработке и вторичному использованию.</w:t>
      </w:r>
    </w:p>
    <w:p>
      <w:pPr>
        <w:pStyle w:val="0"/>
        <w:spacing w:before="200" w:line-rule="auto"/>
        <w:ind w:firstLine="540"/>
        <w:jc w:val="both"/>
      </w:pPr>
      <w:r>
        <w:rPr>
          <w:sz w:val="20"/>
        </w:rPr>
        <w:t xml:space="preserve">В качестве одного из возможных направлений реализации совершенствования существующей системы сбора и накопления отходов предлагается также внедрение дуального сбора для многоквартирных жилых домов (далее - МКД) и бытового компостирования для индивидуального жилищного фонда (далее - ИЖД). Дуальная система сбора отходов в МКД подразумевает раздельный сбор от 2 фракций:</w:t>
      </w:r>
    </w:p>
    <w:p>
      <w:pPr>
        <w:pStyle w:val="0"/>
        <w:spacing w:before="200" w:line-rule="auto"/>
        <w:ind w:firstLine="540"/>
        <w:jc w:val="both"/>
      </w:pPr>
      <w:r>
        <w:rPr>
          <w:sz w:val="20"/>
        </w:rPr>
        <w:t xml:space="preserve">- неутилизируемые отходы и вторичное сырье (ПЭТ, стекло, металл, макулатура, пластики);</w:t>
      </w:r>
    </w:p>
    <w:p>
      <w:pPr>
        <w:pStyle w:val="0"/>
        <w:spacing w:before="200" w:line-rule="auto"/>
        <w:ind w:firstLine="540"/>
        <w:jc w:val="both"/>
      </w:pPr>
      <w:r>
        <w:rPr>
          <w:sz w:val="20"/>
        </w:rPr>
        <w:t xml:space="preserve">- органические отходы (пищевые и растительные остатки).</w:t>
      </w:r>
    </w:p>
    <w:p>
      <w:pPr>
        <w:pStyle w:val="0"/>
        <w:spacing w:before="200" w:line-rule="auto"/>
        <w:ind w:firstLine="540"/>
        <w:jc w:val="both"/>
      </w:pPr>
      <w:r>
        <w:rPr>
          <w:sz w:val="20"/>
        </w:rPr>
        <w:t xml:space="preserve">В ИЖД дуальность сбора заключается в том, что органические отходы (пищевые и растительные остатки) остаются в компостной площадке домовладения, а в контейнер выбрасываются только неутилизируемые отходы. Вторичное сырье, как и в системе сбора в МКД, либо сдается в пункты выкупа вторичного сырья, либо оставляется в том же контейнере.</w:t>
      </w:r>
    </w:p>
    <w:p>
      <w:pPr>
        <w:pStyle w:val="0"/>
        <w:spacing w:before="200" w:line-rule="auto"/>
        <w:ind w:firstLine="540"/>
        <w:jc w:val="both"/>
      </w:pPr>
      <w:r>
        <w:rPr>
          <w:sz w:val="20"/>
        </w:rPr>
        <w:t xml:space="preserve">Мероприятия подпрограммы 7 финансируются за счет средств федерального бюджета, бюджета Белгородской области, местных бюджетов и внебюджетных источников.</w:t>
      </w:r>
    </w:p>
    <w:p>
      <w:pPr>
        <w:pStyle w:val="0"/>
        <w:jc w:val="center"/>
      </w:pPr>
      <w:r>
        <w:rPr>
          <w:sz w:val="20"/>
        </w:rPr>
      </w:r>
    </w:p>
    <w:p>
      <w:pPr>
        <w:pStyle w:val="2"/>
        <w:outlineLvl w:val="2"/>
        <w:jc w:val="center"/>
      </w:pPr>
      <w:r>
        <w:rPr>
          <w:sz w:val="20"/>
        </w:rPr>
        <w:t xml:space="preserve">2. Цели, задачи, сроки и этапы реализации подпрограммы 7</w:t>
      </w:r>
    </w:p>
    <w:p>
      <w:pPr>
        <w:pStyle w:val="0"/>
      </w:pPr>
      <w:r>
        <w:rPr>
          <w:sz w:val="20"/>
        </w:rPr>
      </w:r>
    </w:p>
    <w:p>
      <w:pPr>
        <w:pStyle w:val="0"/>
        <w:ind w:firstLine="540"/>
        <w:jc w:val="both"/>
      </w:pPr>
      <w:r>
        <w:rPr>
          <w:sz w:val="20"/>
        </w:rPr>
        <w:t xml:space="preserve">Целью подпрограммы 7 является повышение экологической безопасности населения на территории Белгородской области, создание устойчивой системы обращения с твердыми коммунальными отходами.</w:t>
      </w:r>
    </w:p>
    <w:p>
      <w:pPr>
        <w:pStyle w:val="0"/>
        <w:spacing w:before="200" w:line-rule="auto"/>
        <w:ind w:firstLine="540"/>
        <w:jc w:val="both"/>
      </w:pPr>
      <w:r>
        <w:rPr>
          <w:sz w:val="20"/>
        </w:rPr>
        <w:t xml:space="preserve">Для достижения намеченной цели необходимо решить следующие задачи:</w:t>
      </w:r>
    </w:p>
    <w:p>
      <w:pPr>
        <w:pStyle w:val="0"/>
        <w:spacing w:before="200" w:line-rule="auto"/>
        <w:ind w:firstLine="540"/>
        <w:jc w:val="both"/>
      </w:pPr>
      <w:r>
        <w:rPr>
          <w:sz w:val="20"/>
        </w:rPr>
        <w:t xml:space="preserve">1.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эколого-просветительской и образовательной деятельности.</w:t>
      </w:r>
    </w:p>
    <w:p>
      <w:pPr>
        <w:pStyle w:val="0"/>
        <w:spacing w:before="200" w:line-rule="auto"/>
        <w:ind w:firstLine="540"/>
        <w:jc w:val="both"/>
      </w:pPr>
      <w:r>
        <w:rPr>
          <w:sz w:val="20"/>
        </w:rPr>
        <w:t xml:space="preserve">2.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w:t>
      </w:r>
    </w:p>
    <w:p>
      <w:pPr>
        <w:pStyle w:val="0"/>
        <w:spacing w:before="200" w:line-rule="auto"/>
        <w:ind w:firstLine="540"/>
        <w:jc w:val="both"/>
      </w:pPr>
      <w:r>
        <w:rPr>
          <w:sz w:val="20"/>
        </w:rPr>
        <w:t xml:space="preserve">3.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w:t>
      </w:r>
    </w:p>
    <w:p>
      <w:pPr>
        <w:pStyle w:val="0"/>
        <w:spacing w:before="200" w:line-rule="auto"/>
        <w:ind w:firstLine="540"/>
        <w:jc w:val="both"/>
      </w:pPr>
      <w:r>
        <w:rPr>
          <w:sz w:val="20"/>
        </w:rPr>
        <w:t xml:space="preserve">Реализация подпрограммы 7 - 2018 - 2024 годы, этапы реализации не выделяются.</w:t>
      </w:r>
    </w:p>
    <w:p>
      <w:pPr>
        <w:pStyle w:val="0"/>
        <w:ind w:firstLine="540"/>
        <w:jc w:val="both"/>
      </w:pPr>
      <w:r>
        <w:rPr>
          <w:sz w:val="20"/>
        </w:rPr>
      </w:r>
    </w:p>
    <w:p>
      <w:pPr>
        <w:pStyle w:val="2"/>
        <w:outlineLvl w:val="2"/>
        <w:jc w:val="center"/>
      </w:pPr>
      <w:r>
        <w:rPr>
          <w:sz w:val="20"/>
        </w:rPr>
        <w:t xml:space="preserve">3. Обоснование выделения системы мероприятий и краткое</w:t>
      </w:r>
    </w:p>
    <w:p>
      <w:pPr>
        <w:pStyle w:val="2"/>
        <w:jc w:val="center"/>
      </w:pPr>
      <w:r>
        <w:rPr>
          <w:sz w:val="20"/>
        </w:rPr>
        <w:t xml:space="preserve">описание основных мероприятий подпрограммы 7</w:t>
      </w:r>
    </w:p>
    <w:p>
      <w:pPr>
        <w:pStyle w:val="0"/>
      </w:pPr>
      <w:r>
        <w:rPr>
          <w:sz w:val="20"/>
        </w:rPr>
      </w:r>
    </w:p>
    <w:p>
      <w:pPr>
        <w:pStyle w:val="0"/>
        <w:ind w:firstLine="540"/>
        <w:jc w:val="both"/>
      </w:pPr>
      <w:r>
        <w:rPr>
          <w:sz w:val="20"/>
        </w:rPr>
        <w:t xml:space="preserve">Мероприятия подпрограммы 7 направлены на повышение экологической безопасности населения путем модернизации существующей системы обращения с ТКО и обеспечения комплексного подхода к процессу сбора, транспортирования, переработки, утилизации и захоронения ТКО.</w:t>
      </w:r>
    </w:p>
    <w:p>
      <w:pPr>
        <w:pStyle w:val="0"/>
        <w:spacing w:before="200" w:line-rule="auto"/>
        <w:ind w:firstLine="540"/>
        <w:jc w:val="both"/>
      </w:pPr>
      <w:r>
        <w:rPr>
          <w:sz w:val="20"/>
        </w:rPr>
        <w:t xml:space="preserve">В рамках решения задачи 1 "Создание и развитие эффективной инфраструктуры по обращению с твердыми коммунальными отходами на территории области путем строительства новых и модернизации действующих объектов, включая мероприятия по цифровизации системы обращения с ТКО и эколого-просветительской и образовательной деятельности" планируются основные мероприятия и мероприятия:</w:t>
      </w:r>
    </w:p>
    <w:p>
      <w:pPr>
        <w:pStyle w:val="0"/>
        <w:spacing w:before="200" w:line-rule="auto"/>
        <w:ind w:firstLine="540"/>
        <w:jc w:val="both"/>
      </w:pPr>
      <w:r>
        <w:rPr>
          <w:sz w:val="20"/>
        </w:rPr>
        <w:t xml:space="preserve">Основное мероприятие 7.1 "Создание эффективных механизмов управления в отрасли обращения с твердыми коммунальными отходами" включает следующие мероприятия:</w:t>
      </w:r>
    </w:p>
    <w:p>
      <w:pPr>
        <w:pStyle w:val="0"/>
        <w:spacing w:before="200" w:line-rule="auto"/>
        <w:ind w:firstLine="540"/>
        <w:jc w:val="both"/>
      </w:pPr>
      <w:r>
        <w:rPr>
          <w:sz w:val="20"/>
        </w:rPr>
        <w:t xml:space="preserve">Мероприятие 7.1.1 "Строительство объекта размещения твердых коммунальных отходов".</w:t>
      </w:r>
    </w:p>
    <w:p>
      <w:pPr>
        <w:pStyle w:val="0"/>
        <w:spacing w:before="200" w:line-rule="auto"/>
        <w:ind w:firstLine="540"/>
        <w:jc w:val="both"/>
      </w:pPr>
      <w:r>
        <w:rPr>
          <w:sz w:val="20"/>
        </w:rPr>
        <w:t xml:space="preserve">Мероприятие 7.1.2 "Организация весового контроля на объектах размещения отходов (полигонах) Белгородской области", предусматривающее цифровизацию отрасли обращения с ТКО. Сведения с весовых платформ автоматически передаются в используемое региональным оператором специализированное программное обеспечение АСУ "Управление отходами" с указанием государственного номера машины, массы отходов, а также даты и времени заезда на объект и выезда с объекта после разгрузки. Весовые платформы оснащены системами видеонаблюдения, позволяющими контролировать процесс взвешивания мусоровозов. Усиление контроля позволяет повысить уровень ответственности организаций, осуществляющих транспортирование ТКО, что положительно сказывается на качестве оказания услуги.</w:t>
      </w:r>
    </w:p>
    <w:p>
      <w:pPr>
        <w:pStyle w:val="0"/>
        <w:spacing w:before="200" w:line-rule="auto"/>
        <w:ind w:firstLine="540"/>
        <w:jc w:val="both"/>
      </w:pPr>
      <w:r>
        <w:rPr>
          <w:sz w:val="20"/>
        </w:rPr>
        <w:t xml:space="preserve">Кроме того, в рамках цифровизации системы по обращению с ТКО региональным оператором в рамках предоставления грантов государственной поддержки проектов по внедрению отечественных продуктов, созданных на базе "сквозных" цифровых технологий, планируется оборудовать 11500 контейнеров. Установка данных технических средств позволит обеспечить строгий учет объемов образования ТКО практически в режиме реального времени, а также осуществлять мониторинг наполняемости и эффективности расположения контейнерных площадок, а также оптимального количества и объема установленных контейнеров.</w:t>
      </w:r>
    </w:p>
    <w:p>
      <w:pPr>
        <w:pStyle w:val="0"/>
        <w:spacing w:before="200" w:line-rule="auto"/>
        <w:ind w:firstLine="540"/>
        <w:jc w:val="both"/>
      </w:pPr>
      <w:r>
        <w:rPr>
          <w:sz w:val="20"/>
        </w:rPr>
        <w:t xml:space="preserve">Мероприятие 7.1.3 "Строительство объектов обработки твердых коммунальных отходов", предусматривающее строительство современных объектов обработки ТКО, соответствующих требованиям природоохранного законодательства.</w:t>
      </w:r>
    </w:p>
    <w:p>
      <w:pPr>
        <w:pStyle w:val="0"/>
        <w:spacing w:before="200" w:line-rule="auto"/>
        <w:ind w:firstLine="540"/>
        <w:jc w:val="both"/>
      </w:pPr>
      <w:r>
        <w:rPr>
          <w:sz w:val="20"/>
        </w:rPr>
        <w:t xml:space="preserve">Мероприятие 7.1.4 "Строительство мусороперегрузочных станций".</w:t>
      </w:r>
    </w:p>
    <w:p>
      <w:pPr>
        <w:pStyle w:val="0"/>
        <w:spacing w:before="200" w:line-rule="auto"/>
        <w:ind w:firstLine="540"/>
        <w:jc w:val="both"/>
      </w:pPr>
      <w:r>
        <w:rPr>
          <w:sz w:val="20"/>
        </w:rPr>
        <w:t xml:space="preserve">Мероприятие 7.1.5 "Создание пунктов приема вторичного сырья от населения на территории муниципальных образований Белгородской области", включающее активно развивающиеся сети: пунктов выкупа вторичного сырья ООО "Чистый Белый Край" (макулатура, различные виды пластика, алюминий пищевой и т.д.) и вендинговых аппаратов ("фандоматов") для приема пластиковой и алюминиевой тары. Средства, вырученные от реализации вторичного сырья сети вендинговых аппаратов, перечисляются в БРОО "Святое Белогорье против детского рака".</w:t>
      </w:r>
    </w:p>
    <w:p>
      <w:pPr>
        <w:pStyle w:val="0"/>
        <w:spacing w:before="200" w:line-rule="auto"/>
        <w:ind w:firstLine="540"/>
        <w:jc w:val="both"/>
      </w:pPr>
      <w:r>
        <w:rPr>
          <w:sz w:val="20"/>
        </w:rPr>
        <w:t xml:space="preserve">Мероприятие 7.1.6 "Организация информирования граждан о формировании новой системы обращения с отходами"</w:t>
      </w:r>
    </w:p>
    <w:p>
      <w:pPr>
        <w:pStyle w:val="0"/>
        <w:spacing w:before="200" w:line-rule="auto"/>
        <w:ind w:firstLine="540"/>
        <w:jc w:val="both"/>
      </w:pPr>
      <w:r>
        <w:rPr>
          <w:sz w:val="20"/>
        </w:rPr>
        <w:t xml:space="preserve">Мероприятие 7.1.7 "Разработка проектно-сметной документации на строительство объектов размещения твердых коммунальных отходов".</w:t>
      </w:r>
    </w:p>
    <w:p>
      <w:pPr>
        <w:pStyle w:val="0"/>
        <w:spacing w:before="200" w:line-rule="auto"/>
        <w:ind w:firstLine="540"/>
        <w:jc w:val="both"/>
      </w:pPr>
      <w:r>
        <w:rPr>
          <w:sz w:val="20"/>
        </w:rPr>
        <w:t xml:space="preserve">Мероприятие 7.1.8 "Модернизация объектов обращения с твердыми коммунальными отходами".</w:t>
      </w:r>
    </w:p>
    <w:p>
      <w:pPr>
        <w:pStyle w:val="0"/>
        <w:spacing w:before="200" w:line-rule="auto"/>
        <w:ind w:firstLine="540"/>
        <w:jc w:val="both"/>
      </w:pPr>
      <w:r>
        <w:rPr>
          <w:sz w:val="20"/>
        </w:rPr>
        <w:t xml:space="preserve">Мероприятие 7.1.9 "Приобретение оборудования и иного движимого имущества, необходимых для осуществления мероприятий по модернизации объектов обращения с твердыми коммунальными отходами".</w:t>
      </w:r>
    </w:p>
    <w:p>
      <w:pPr>
        <w:pStyle w:val="0"/>
        <w:spacing w:before="200" w:line-rule="auto"/>
        <w:ind w:firstLine="540"/>
        <w:jc w:val="both"/>
      </w:pPr>
      <w:hyperlink w:history="0" w:anchor="P10588"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образований Белгородской области на выполнение мероприятий по созданию эффективных механизмов управления в области обращения с ТКО представлен в приложении N 9 к государственной программе.</w:t>
      </w:r>
    </w:p>
    <w:p>
      <w:pPr>
        <w:pStyle w:val="0"/>
        <w:spacing w:before="200" w:line-rule="auto"/>
        <w:ind w:firstLine="540"/>
        <w:jc w:val="both"/>
      </w:pPr>
      <w:r>
        <w:rPr>
          <w:sz w:val="20"/>
        </w:rPr>
        <w:t xml:space="preserve">Детализированная </w:t>
      </w:r>
      <w:hyperlink w:history="0" w:anchor="P11220" w:tooltip="Детализированная информация о перспективных объектах">
        <w:r>
          <w:rPr>
            <w:sz w:val="20"/>
            <w:color w:val="0000ff"/>
          </w:rPr>
          <w:t xml:space="preserve">информация</w:t>
        </w:r>
      </w:hyperlink>
      <w:r>
        <w:rPr>
          <w:sz w:val="20"/>
        </w:rPr>
        <w:t xml:space="preserve"> о перспективных объектах обращения с твердыми коммунальными отходами, содержащая полное наименование, мощность, тип, срок реализации, включая проектную стоимость объектов и источники финансирования, представлены в приложении N 13 к государственной программе.</w:t>
      </w:r>
    </w:p>
    <w:p>
      <w:pPr>
        <w:pStyle w:val="0"/>
        <w:spacing w:before="200" w:line-rule="auto"/>
        <w:ind w:firstLine="540"/>
        <w:jc w:val="both"/>
      </w:pPr>
      <w:r>
        <w:rPr>
          <w:sz w:val="20"/>
        </w:rPr>
        <w:t xml:space="preserve">Основное мероприятие 7.2 "Разработка электронной модели территориальной схемы по обращению с отходами" направлено на автоматизацию процессов территориальной схемы по обращению с отходами, в том числе с ТКО Белгородской области, в целях повышения прозрачности деятельности участников сферы обращения с отходами на территории Белгородской области.</w:t>
      </w:r>
    </w:p>
    <w:p>
      <w:pPr>
        <w:pStyle w:val="0"/>
        <w:spacing w:before="200" w:line-rule="auto"/>
        <w:ind w:firstLine="540"/>
        <w:jc w:val="both"/>
      </w:pPr>
      <w:r>
        <w:rPr>
          <w:sz w:val="20"/>
        </w:rPr>
        <w:t xml:space="preserve">Основное мероприятие 7.3 "Субсидии на разработку проектно-сметной документации на рекультивацию объектов накопленного вреда окружающей среде".</w:t>
      </w:r>
    </w:p>
    <w:p>
      <w:pPr>
        <w:pStyle w:val="0"/>
        <w:spacing w:before="200" w:line-rule="auto"/>
        <w:ind w:firstLine="540"/>
        <w:jc w:val="both"/>
      </w:pPr>
      <w:hyperlink w:history="0" w:anchor="P10816"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образований Белгородской области на исполнение мероприятия по разработке проектно-сметной документации на рекультивацию объектов накопленного вреда окружающей среде представлен в приложении N 11 к государственной программе.</w:t>
      </w:r>
    </w:p>
    <w:p>
      <w:pPr>
        <w:pStyle w:val="0"/>
        <w:spacing w:before="200" w:line-rule="auto"/>
        <w:ind w:firstLine="540"/>
        <w:jc w:val="both"/>
      </w:pPr>
      <w:r>
        <w:rPr>
          <w:sz w:val="20"/>
        </w:rPr>
        <w:t xml:space="preserve">Мероприятия по эколого-просветительской и образовательной деятельности направлены на формирование экологической культуры и осознанного отношения к обращению с отходами (организация публичных мероприятий, событий, общественных акций, направленных на знакомство населения с современными методами обращения с ТКО и участие в них граждан).</w:t>
      </w:r>
    </w:p>
    <w:p>
      <w:pPr>
        <w:pStyle w:val="0"/>
        <w:spacing w:before="200" w:line-rule="auto"/>
        <w:ind w:firstLine="540"/>
        <w:jc w:val="both"/>
      </w:pPr>
      <w:r>
        <w:rPr>
          <w:sz w:val="20"/>
        </w:rPr>
        <w:t xml:space="preserve">В настоящее время в регионе необходимо создать систему всеобщего комплексного непрерывного экологического образования и просвещения населения. Наличие системы экообразования и экопросвещения, включающей все возрастные категории населения, позволит обеспечить устойчивое развитие общества и обеспечить экологическую безопасность в будущем.</w:t>
      </w:r>
    </w:p>
    <w:p>
      <w:pPr>
        <w:pStyle w:val="0"/>
        <w:spacing w:before="200" w:line-rule="auto"/>
        <w:ind w:firstLine="540"/>
        <w:jc w:val="both"/>
      </w:pPr>
      <w:r>
        <w:rPr>
          <w:sz w:val="20"/>
        </w:rPr>
        <w:t xml:space="preserve">Региональный оператор реализует экологический просветительский проект "Береги Белгородчину с нами!". Проект разделен на несколько блоков, включающих комплекс экологических мероприятий, носящих системный характер, и направлен на воспитание экологической культуры у различных возрастных групп населения, прежде всего у детей и молодежи.</w:t>
      </w:r>
    </w:p>
    <w:p>
      <w:pPr>
        <w:pStyle w:val="0"/>
        <w:spacing w:before="200" w:line-rule="auto"/>
        <w:ind w:firstLine="540"/>
        <w:jc w:val="both"/>
      </w:pPr>
      <w:r>
        <w:rPr>
          <w:sz w:val="20"/>
        </w:rPr>
        <w:t xml:space="preserve">Реализация проекта осуществляется региональным оператором по обращению с ТКО совместно с департаментом образования области, департаментом внутренней политики области, а также при активном участии органов местного самоуправления.</w:t>
      </w:r>
    </w:p>
    <w:p>
      <w:pPr>
        <w:pStyle w:val="0"/>
        <w:spacing w:before="200" w:line-rule="auto"/>
        <w:ind w:firstLine="540"/>
        <w:jc w:val="both"/>
      </w:pPr>
      <w:r>
        <w:rPr>
          <w:sz w:val="20"/>
        </w:rPr>
        <w:t xml:space="preserve">В свою очередь, активную и систематическую работу среди детей и молодежи в части экологического воспитания осуществляет государственное бюджетное учреждение дополнительного образования "Белгородский областной детский эколого-биологический центр". На территории области созданы и функционируют ученические производственные бригады, экологические бригады. В рамках реализации мероприятий Календаря экологических мероприятий в регионе проводится не менее 25 областных экологических мероприятий.</w:t>
      </w:r>
    </w:p>
    <w:p>
      <w:pPr>
        <w:pStyle w:val="0"/>
        <w:spacing w:before="200" w:line-rule="auto"/>
        <w:ind w:firstLine="540"/>
        <w:jc w:val="both"/>
      </w:pPr>
      <w:r>
        <w:rPr>
          <w:sz w:val="20"/>
        </w:rPr>
        <w:t xml:space="preserve">Основной целью Единого стандарта экологического просвещения в Белгородской области станет разработка комплекса экологических мероприятий, направленных на повышение экологической культуры населения Белгородской области. Мероприятия должны носить системный характер и проводиться с использованием форм и методов организационной работы с учетом возрастной категории участников.</w:t>
      </w:r>
    </w:p>
    <w:p>
      <w:pPr>
        <w:pStyle w:val="0"/>
        <w:spacing w:before="200" w:line-rule="auto"/>
        <w:ind w:firstLine="540"/>
        <w:jc w:val="both"/>
      </w:pPr>
      <w:r>
        <w:rPr>
          <w:sz w:val="20"/>
        </w:rPr>
        <w:t xml:space="preserve">В рамках задачи 2 "Улучшение экологических условий проживания на территории Белгородской области населения за счет ликвидации (рекультивации) объектов накопленного вреда окружающей среде" реализуется проект 7.G1 "Чистая страна", входящий в состав национального проекта "Экология". Данное мероприятие направлено на ликвидацию несанкционированных свалок в границах городов (объектов накопленного вреда окружающей среде).</w:t>
      </w:r>
    </w:p>
    <w:p>
      <w:pPr>
        <w:pStyle w:val="0"/>
        <w:spacing w:before="200" w:line-rule="auto"/>
        <w:ind w:firstLine="540"/>
        <w:jc w:val="both"/>
      </w:pPr>
      <w:hyperlink w:history="0" w:anchor="P10704" w:tooltip="Порядок">
        <w:r>
          <w:rPr>
            <w:sz w:val="20"/>
            <w:color w:val="0000ff"/>
          </w:rPr>
          <w:t xml:space="preserve">Порядок</w:t>
        </w:r>
      </w:hyperlink>
      <w:r>
        <w:rPr>
          <w:sz w:val="20"/>
        </w:rPr>
        <w:t xml:space="preserve"> предоставления и распределения субсидий из областного бюджета бюджетам муниципальных образований Белгородской области на ликвидацию (рекультивацию) объектов накопленного вреда окружающей среде представлен в приложении N 10 к государственной программе.</w:t>
      </w:r>
    </w:p>
    <w:p>
      <w:pPr>
        <w:pStyle w:val="0"/>
        <w:spacing w:before="200" w:line-rule="auto"/>
        <w:ind w:firstLine="540"/>
        <w:jc w:val="both"/>
      </w:pPr>
      <w:r>
        <w:rPr>
          <w:sz w:val="20"/>
        </w:rPr>
        <w:t xml:space="preserve">Выявление вновь образованных мест несанкционированного размещения отходов осуществляется в рамках полномочий управления экологического и охотничьего надзора Белгородской области.</w:t>
      </w:r>
    </w:p>
    <w:p>
      <w:pPr>
        <w:pStyle w:val="0"/>
        <w:spacing w:before="200" w:line-rule="auto"/>
        <w:ind w:firstLine="540"/>
        <w:jc w:val="both"/>
      </w:pPr>
      <w:r>
        <w:rPr>
          <w:sz w:val="20"/>
        </w:rPr>
        <w:t xml:space="preserve">В 2020 году разработана и внедрена информационная система "Мониторинг ликвидации мест несанкционированного размещения отходов".</w:t>
      </w:r>
    </w:p>
    <w:p>
      <w:pPr>
        <w:pStyle w:val="0"/>
        <w:spacing w:before="200" w:line-rule="auto"/>
        <w:ind w:firstLine="540"/>
        <w:jc w:val="both"/>
      </w:pPr>
      <w:r>
        <w:rPr>
          <w:sz w:val="20"/>
        </w:rPr>
        <w:t xml:space="preserve">Основная цель внедрения программного модуля - обеспечение учета обнаруженных и ликвидированных мест несанкционированного размещения отходов (свалок) на территории области.</w:t>
      </w:r>
    </w:p>
    <w:p>
      <w:pPr>
        <w:pStyle w:val="0"/>
        <w:spacing w:before="200" w:line-rule="auto"/>
        <w:ind w:firstLine="540"/>
        <w:jc w:val="both"/>
      </w:pPr>
      <w:r>
        <w:rPr>
          <w:sz w:val="20"/>
        </w:rPr>
        <w:t xml:space="preserve">Программный модуль необходим для автоматизации процессов по сбору сведений от инспекторов управления экологического и охотничьего надзора Белгородской области, ответственных сотрудников администраций муниципальных образований области, контролю ликвидации обнаруженных мест несанкционированного размещения отходов (свалок) и подготовки сводных отчетов о количестве обнаруженных и ликвидированных мест несанкционированного размещения отходов (свалок).</w:t>
      </w:r>
    </w:p>
    <w:p>
      <w:pPr>
        <w:pStyle w:val="0"/>
        <w:spacing w:before="200" w:line-rule="auto"/>
        <w:ind w:firstLine="540"/>
        <w:jc w:val="both"/>
      </w:pPr>
      <w:r>
        <w:rPr>
          <w:sz w:val="20"/>
        </w:rPr>
        <w:t xml:space="preserve">Согласно </w:t>
      </w:r>
      <w:hyperlink w:history="0" r:id="rId182" w:tooltip="Постановление Правительства РФ от 12.11.2016 N 1156 (ред. от 18.03.2021) &quot;Об обращении с твердыми коммунальными отходами и внесении изменения в постановление Правительства Российской Федерации от 25 августа 2008 г. N 641&quot; (вместе с &quot;Правилами обращения с твердыми коммунальными отходами&quot;) {КонсультантПлюс}">
        <w:r>
          <w:rPr>
            <w:sz w:val="20"/>
            <w:color w:val="0000ff"/>
          </w:rPr>
          <w:t xml:space="preserve">Правилам</w:t>
        </w:r>
      </w:hyperlink>
      <w:r>
        <w:rPr>
          <w:sz w:val="20"/>
        </w:rPr>
        <w:t xml:space="preserve"> обращения с ТКО, утвержденным Постановлением Правительства Российской Федерации от 12 ноября 2016 года N 1156 "Об обращении с твердыми коммунальными отходами и внесении изменения в Постановление Правительства Российской Федерации от 25 августа 2008 г. N 641", региональный оператор, в случае выявления места несанкционированного размещения ТКО (далее - свалка), обязан должным образом уведомить собственника земельного участка об обнаружении свалки и, в случае непринятия последним мер по ее ликвидации в тридцатидневный срок, ликвидировать ее собственными силами с последующим взысканием понесенных расходов в судебном порядке.</w:t>
      </w:r>
    </w:p>
    <w:p>
      <w:pPr>
        <w:pStyle w:val="0"/>
        <w:spacing w:before="200" w:line-rule="auto"/>
        <w:ind w:firstLine="540"/>
        <w:jc w:val="both"/>
      </w:pPr>
      <w:r>
        <w:rPr>
          <w:sz w:val="20"/>
        </w:rPr>
        <w:t xml:space="preserve">В рамках решения задачи 3 "Предупреждение и сокращение образования отходов, их вовлечение в повторный хозяйственный оборот, а также обеспечение снижения экологической нагрузки на население за счет сокращения захоронения твердых коммунальных отходов, в том числе прошедших обработку (сортировку)" реализуется проект 7.G2 "Комплексная система обращения с твердыми коммунальными отходами", входящий в состав национального проекта "Экология".</w:t>
      </w:r>
    </w:p>
    <w:p>
      <w:pPr>
        <w:pStyle w:val="0"/>
        <w:spacing w:before="200" w:line-rule="auto"/>
        <w:ind w:firstLine="540"/>
        <w:jc w:val="both"/>
      </w:pPr>
      <w:r>
        <w:rPr>
          <w:sz w:val="20"/>
        </w:rPr>
        <w:t xml:space="preserve">В рамках реализации данного проекта, в том числе, предусмотрены мероприятия по закупке контейнеров для раздельного накопления ТКО в целях развития системы раздельного сбора ТКО на территории области.</w:t>
      </w:r>
    </w:p>
    <w:p>
      <w:pPr>
        <w:pStyle w:val="0"/>
        <w:spacing w:before="200" w:line-rule="auto"/>
        <w:ind w:firstLine="540"/>
        <w:jc w:val="both"/>
      </w:pPr>
      <w:r>
        <w:rPr>
          <w:sz w:val="20"/>
        </w:rPr>
        <w:t xml:space="preserve">В условиях города для жителей предусмотрено два типа контейнеров - для вторичного сырья и неутилизируемой фракции. Жителям частных домовладений предлагается обеспечить компостирование органических отходов в организованных на территории частных домовладений компостных площадках, а ТКО, не содержащие органическую фракцию, складировать в установленные для данных целей сетчатые контейнеры. Пилотные площадки находятся в городе Белгороде, Губкинском, Старооскольском городских округах, Ровеньском и Прохоровском районах.</w:t>
      </w:r>
    </w:p>
    <w:p>
      <w:pPr>
        <w:pStyle w:val="0"/>
        <w:spacing w:before="200" w:line-rule="auto"/>
        <w:ind w:firstLine="540"/>
        <w:jc w:val="both"/>
      </w:pPr>
      <w:r>
        <w:rPr>
          <w:sz w:val="20"/>
        </w:rPr>
        <w:t xml:space="preserve">Оборудование мест (площадок) накопления ТКО контейнерами для раздельного накопления ТКО запланировано в соответствии с </w:t>
      </w:r>
      <w:hyperlink w:history="0" w:anchor="P10929" w:tooltip="Перечень контейнерных площадок, оборудованных или">
        <w:r>
          <w:rPr>
            <w:sz w:val="20"/>
            <w:color w:val="0000ff"/>
          </w:rPr>
          <w:t xml:space="preserve">приложением N 12</w:t>
        </w:r>
      </w:hyperlink>
      <w:r>
        <w:rPr>
          <w:sz w:val="20"/>
        </w:rPr>
        <w:t xml:space="preserve"> к государственной программе.</w:t>
      </w:r>
    </w:p>
    <w:p>
      <w:pPr>
        <w:pStyle w:val="0"/>
        <w:spacing w:before="200" w:line-rule="auto"/>
        <w:ind w:firstLine="540"/>
        <w:jc w:val="both"/>
      </w:pPr>
      <w:r>
        <w:rPr>
          <w:sz w:val="20"/>
        </w:rPr>
        <w:t xml:space="preserve">В рамках реализации проекта "Комплексная система обращения с твердыми коммунальными отходами" запланировано мероприятие по закупке контейнеров для раздельного накопления твердых коммунальных отходов.</w:t>
      </w:r>
    </w:p>
    <w:p>
      <w:pPr>
        <w:pStyle w:val="0"/>
        <w:jc w:val="both"/>
      </w:pPr>
      <w:r>
        <w:rPr>
          <w:sz w:val="20"/>
        </w:rPr>
        <w:t xml:space="preserve">(абзац введен </w:t>
      </w:r>
      <w:hyperlink w:history="0" r:id="rId183" w:tooltip="Постановление Правительства Белгородской обл. от 19.09.2022 N 540-пп &quot;О внесении изменений в постановление Правительства Белгородской области от 16 декабря 2013 года N 517-пп&quot; (вместе с &quot;Порядком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quot;) {КонсультантПлюс}">
        <w:r>
          <w:rPr>
            <w:sz w:val="20"/>
            <w:color w:val="0000ff"/>
          </w:rPr>
          <w:t xml:space="preserve">постановлением</w:t>
        </w:r>
      </w:hyperlink>
      <w:r>
        <w:rPr>
          <w:sz w:val="20"/>
        </w:rPr>
        <w:t xml:space="preserve"> Правительства Белгородской области от 19.09.2022 N 540-пп)</w:t>
      </w:r>
    </w:p>
    <w:p>
      <w:pPr>
        <w:pStyle w:val="0"/>
        <w:spacing w:before="200" w:line-rule="auto"/>
        <w:ind w:firstLine="540"/>
        <w:jc w:val="both"/>
      </w:pPr>
      <w:hyperlink w:history="0" w:anchor="P12004" w:tooltip="Порядок">
        <w:r>
          <w:rPr>
            <w:sz w:val="20"/>
            <w:color w:val="0000ff"/>
          </w:rPr>
          <w:t xml:space="preserve">Порядок</w:t>
        </w:r>
      </w:hyperlink>
      <w:r>
        <w:rPr>
          <w:sz w:val="20"/>
        </w:rPr>
        <w:t xml:space="preserve">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 представлен в приложении N 15 к государственной программе.</w:t>
      </w:r>
    </w:p>
    <w:p>
      <w:pPr>
        <w:pStyle w:val="0"/>
        <w:jc w:val="both"/>
      </w:pPr>
      <w:r>
        <w:rPr>
          <w:sz w:val="20"/>
        </w:rPr>
        <w:t xml:space="preserve">(абзац введен </w:t>
      </w:r>
      <w:hyperlink w:history="0" r:id="rId184" w:tooltip="Постановление Правительства Белгородской обл. от 19.09.2022 N 540-пп &quot;О внесении изменений в постановление Правительства Белгородской области от 16 декабря 2013 года N 517-пп&quot; (вместе с &quot;Порядком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quot;) {КонсультантПлюс}">
        <w:r>
          <w:rPr>
            <w:sz w:val="20"/>
            <w:color w:val="0000ff"/>
          </w:rPr>
          <w:t xml:space="preserve">постановлением</w:t>
        </w:r>
      </w:hyperlink>
      <w:r>
        <w:rPr>
          <w:sz w:val="20"/>
        </w:rPr>
        <w:t xml:space="preserve"> Правительства Белгородской области от 19.09.2022 N 540-пп)</w:t>
      </w:r>
    </w:p>
    <w:p>
      <w:pPr>
        <w:pStyle w:val="0"/>
        <w:spacing w:before="200" w:line-rule="auto"/>
        <w:ind w:firstLine="540"/>
        <w:jc w:val="both"/>
      </w:pPr>
      <w:r>
        <w:rPr>
          <w:sz w:val="20"/>
        </w:rPr>
        <w:t xml:space="preserve">Система мероприятий и показателей подпрограммы 7 представлена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center"/>
      </w:pPr>
      <w:r>
        <w:rPr>
          <w:sz w:val="20"/>
        </w:rPr>
      </w:r>
    </w:p>
    <w:p>
      <w:pPr>
        <w:pStyle w:val="2"/>
        <w:outlineLvl w:val="2"/>
        <w:jc w:val="center"/>
      </w:pPr>
      <w:r>
        <w:rPr>
          <w:sz w:val="20"/>
        </w:rPr>
        <w:t xml:space="preserve">4. Прогноз конечных результатов подпрограммы 7.</w:t>
      </w:r>
    </w:p>
    <w:p>
      <w:pPr>
        <w:pStyle w:val="2"/>
        <w:jc w:val="center"/>
      </w:pPr>
      <w:r>
        <w:rPr>
          <w:sz w:val="20"/>
        </w:rPr>
        <w:t xml:space="preserve">Перечень показателей подпрограммы 7</w:t>
      </w:r>
    </w:p>
    <w:p>
      <w:pPr>
        <w:pStyle w:val="0"/>
        <w:jc w:val="both"/>
      </w:pPr>
      <w:r>
        <w:rPr>
          <w:sz w:val="20"/>
        </w:rPr>
      </w:r>
    </w:p>
    <w:p>
      <w:pPr>
        <w:pStyle w:val="0"/>
        <w:ind w:firstLine="540"/>
        <w:jc w:val="both"/>
      </w:pPr>
      <w:r>
        <w:rPr>
          <w:sz w:val="20"/>
        </w:rPr>
        <w:t xml:space="preserve">Реализация комплекса мероприятий подпрограммы 7 к 2024 году позволит достичь следующие конечные результаты:</w:t>
      </w:r>
    </w:p>
    <w:p>
      <w:pPr>
        <w:pStyle w:val="0"/>
        <w:spacing w:before="200" w:line-rule="auto"/>
        <w:ind w:firstLine="540"/>
        <w:jc w:val="both"/>
      </w:pPr>
      <w:r>
        <w:rPr>
          <w:sz w:val="20"/>
        </w:rPr>
        <w:t xml:space="preserve">1. Доля обработанных твердых коммунальных отходов в общем объеме твердых коммунальных отходов - 8,1 процента в 2018 году.</w:t>
      </w:r>
    </w:p>
    <w:p>
      <w:pPr>
        <w:pStyle w:val="0"/>
        <w:spacing w:before="200" w:line-rule="auto"/>
        <w:ind w:firstLine="540"/>
        <w:jc w:val="both"/>
      </w:pPr>
      <w:r>
        <w:rPr>
          <w:sz w:val="20"/>
        </w:rPr>
        <w:t xml:space="preserve">2. Увеличение доли охвата потребителей услугой по обращению с твердыми коммунальными отходами до 100 процентов к 2020 году.</w:t>
      </w:r>
    </w:p>
    <w:p>
      <w:pPr>
        <w:pStyle w:val="0"/>
        <w:spacing w:before="200" w:line-rule="auto"/>
        <w:ind w:firstLine="540"/>
        <w:jc w:val="both"/>
      </w:pPr>
      <w:r>
        <w:rPr>
          <w:sz w:val="20"/>
        </w:rPr>
        <w:t xml:space="preserve">3. Проведение мероприятий по эколого-просветительской и образовательной деятельности - не менее 48 единиц к 2024 году.</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2181" w:tooltip="Приложение N 1">
        <w:r>
          <w:rPr>
            <w:sz w:val="20"/>
            <w:color w:val="0000ff"/>
          </w:rPr>
          <w:t xml:space="preserve">приложении N 1</w:t>
        </w:r>
      </w:hyperlink>
      <w:r>
        <w:rPr>
          <w:sz w:val="20"/>
        </w:rPr>
        <w:t xml:space="preserve"> к государственной программе.</w:t>
      </w:r>
    </w:p>
    <w:p>
      <w:pPr>
        <w:pStyle w:val="0"/>
        <w:jc w:val="center"/>
      </w:pPr>
      <w:r>
        <w:rPr>
          <w:sz w:val="20"/>
        </w:rPr>
      </w:r>
    </w:p>
    <w:p>
      <w:pPr>
        <w:pStyle w:val="2"/>
        <w:outlineLvl w:val="2"/>
        <w:jc w:val="center"/>
      </w:pPr>
      <w:r>
        <w:rPr>
          <w:sz w:val="20"/>
        </w:rPr>
        <w:t xml:space="preserve">5. Ресурсное обеспечение подпрограммы 7 (в разрезе главных</w:t>
      </w:r>
    </w:p>
    <w:p>
      <w:pPr>
        <w:pStyle w:val="2"/>
        <w:jc w:val="center"/>
      </w:pPr>
      <w:r>
        <w:rPr>
          <w:sz w:val="20"/>
        </w:rPr>
        <w:t xml:space="preserve">распорядителей средств областного бюджета, основных</w:t>
      </w:r>
    </w:p>
    <w:p>
      <w:pPr>
        <w:pStyle w:val="2"/>
        <w:jc w:val="center"/>
      </w:pPr>
      <w:r>
        <w:rPr>
          <w:sz w:val="20"/>
        </w:rPr>
        <w:t xml:space="preserve">мероприятий, а также по годам реализации подпрограммы 7)</w:t>
      </w:r>
    </w:p>
    <w:p>
      <w:pPr>
        <w:pStyle w:val="0"/>
        <w:jc w:val="both"/>
      </w:pPr>
      <w:r>
        <w:rPr>
          <w:sz w:val="20"/>
        </w:rPr>
      </w:r>
    </w:p>
    <w:p>
      <w:pPr>
        <w:pStyle w:val="0"/>
        <w:ind w:firstLine="540"/>
        <w:jc w:val="both"/>
      </w:pPr>
      <w:r>
        <w:rPr>
          <w:sz w:val="20"/>
        </w:rPr>
        <w:t xml:space="preserve">Планируемые объемы финансирования подпрограммы 7 в разрезе источников финансирования по годам реализации представлены в таблице 11.</w:t>
      </w:r>
    </w:p>
    <w:p>
      <w:pPr>
        <w:pStyle w:val="0"/>
        <w:jc w:val="both"/>
      </w:pPr>
      <w:r>
        <w:rPr>
          <w:sz w:val="20"/>
        </w:rPr>
      </w:r>
    </w:p>
    <w:p>
      <w:pPr>
        <w:pStyle w:val="0"/>
        <w:outlineLvl w:val="3"/>
        <w:jc w:val="right"/>
      </w:pPr>
      <w:r>
        <w:rPr>
          <w:sz w:val="20"/>
        </w:rPr>
        <w:t xml:space="preserve">Таблица 11</w:t>
      </w:r>
    </w:p>
    <w:p>
      <w:pPr>
        <w:pStyle w:val="0"/>
        <w:jc w:val="center"/>
      </w:pPr>
      <w:r>
        <w:rPr>
          <w:sz w:val="20"/>
        </w:rPr>
        <w:t xml:space="preserve">(в ред. </w:t>
      </w:r>
      <w:hyperlink w:history="0" r:id="rId185"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84"/>
        <w:gridCol w:w="1077"/>
        <w:gridCol w:w="1249"/>
        <w:gridCol w:w="1928"/>
        <w:gridCol w:w="1474"/>
        <w:gridCol w:w="1077"/>
        <w:gridCol w:w="1144"/>
      </w:tblGrid>
      <w:tr>
        <w:tc>
          <w:tcPr>
            <w:tcW w:w="1084" w:type="dxa"/>
            <w:vMerge w:val="restart"/>
          </w:tcPr>
          <w:p>
            <w:pPr>
              <w:pStyle w:val="0"/>
              <w:jc w:val="center"/>
            </w:pPr>
            <w:r>
              <w:rPr>
                <w:sz w:val="20"/>
              </w:rPr>
              <w:t xml:space="preserve">Годы</w:t>
            </w:r>
          </w:p>
        </w:tc>
        <w:tc>
          <w:tcPr>
            <w:gridSpan w:val="6"/>
            <w:tcW w:w="7949" w:type="dxa"/>
          </w:tcPr>
          <w:p>
            <w:pPr>
              <w:pStyle w:val="0"/>
              <w:jc w:val="center"/>
            </w:pPr>
            <w:r>
              <w:rPr>
                <w:sz w:val="20"/>
              </w:rPr>
              <w:t xml:space="preserve">Источники финансирования, тыс. рублей</w:t>
            </w:r>
          </w:p>
        </w:tc>
      </w:tr>
      <w:tr>
        <w:tc>
          <w:tcPr>
            <w:vMerge w:val="continue"/>
          </w:tcPr>
          <w:p/>
        </w:tc>
        <w:tc>
          <w:tcPr>
            <w:tcW w:w="1077" w:type="dxa"/>
          </w:tcPr>
          <w:p>
            <w:pPr>
              <w:pStyle w:val="0"/>
              <w:jc w:val="center"/>
            </w:pPr>
            <w:r>
              <w:rPr>
                <w:sz w:val="20"/>
              </w:rPr>
              <w:t xml:space="preserve">Федеральный бюджет</w:t>
            </w:r>
          </w:p>
        </w:tc>
        <w:tc>
          <w:tcPr>
            <w:tcW w:w="1249" w:type="dxa"/>
          </w:tcPr>
          <w:p>
            <w:pPr>
              <w:pStyle w:val="0"/>
              <w:jc w:val="center"/>
            </w:pPr>
            <w:r>
              <w:rPr>
                <w:sz w:val="20"/>
              </w:rPr>
              <w:t xml:space="preserve">Областной бюджет</w:t>
            </w:r>
          </w:p>
        </w:tc>
        <w:tc>
          <w:tcPr>
            <w:tcW w:w="1928" w:type="dxa"/>
          </w:tcPr>
          <w:p>
            <w:pPr>
              <w:pStyle w:val="0"/>
              <w:jc w:val="center"/>
            </w:pPr>
            <w:r>
              <w:rPr>
                <w:sz w:val="20"/>
              </w:rPr>
              <w:t xml:space="preserve">Консолидированные бюджеты муниципальных образований</w:t>
            </w:r>
          </w:p>
        </w:tc>
        <w:tc>
          <w:tcPr>
            <w:tcW w:w="1474" w:type="dxa"/>
          </w:tcPr>
          <w:p>
            <w:pPr>
              <w:pStyle w:val="0"/>
              <w:jc w:val="center"/>
            </w:pPr>
            <w:r>
              <w:rPr>
                <w:sz w:val="20"/>
              </w:rPr>
              <w:t xml:space="preserve">Территориальные внебюджетные фонды</w:t>
            </w:r>
          </w:p>
        </w:tc>
        <w:tc>
          <w:tcPr>
            <w:tcW w:w="1077" w:type="dxa"/>
          </w:tcPr>
          <w:p>
            <w:pPr>
              <w:pStyle w:val="0"/>
              <w:jc w:val="center"/>
            </w:pPr>
            <w:r>
              <w:rPr>
                <w:sz w:val="20"/>
              </w:rPr>
              <w:t xml:space="preserve">Иные источники</w:t>
            </w:r>
          </w:p>
        </w:tc>
        <w:tc>
          <w:tcPr>
            <w:tcW w:w="1144" w:type="dxa"/>
          </w:tcPr>
          <w:p>
            <w:pPr>
              <w:pStyle w:val="0"/>
              <w:jc w:val="center"/>
            </w:pPr>
            <w:r>
              <w:rPr>
                <w:sz w:val="20"/>
              </w:rPr>
              <w:t xml:space="preserve">Всего</w:t>
            </w:r>
          </w:p>
        </w:tc>
      </w:tr>
      <w:tr>
        <w:tc>
          <w:tcPr>
            <w:tcW w:w="1084" w:type="dxa"/>
            <w:vAlign w:val="center"/>
          </w:tcPr>
          <w:p>
            <w:pPr>
              <w:pStyle w:val="0"/>
              <w:jc w:val="center"/>
            </w:pPr>
            <w:r>
              <w:rPr>
                <w:sz w:val="20"/>
              </w:rPr>
              <w:t xml:space="preserve">2018</w:t>
            </w:r>
          </w:p>
        </w:tc>
        <w:tc>
          <w:tcPr>
            <w:tcW w:w="1077" w:type="dxa"/>
            <w:vAlign w:val="center"/>
          </w:tcPr>
          <w:p>
            <w:pPr>
              <w:pStyle w:val="0"/>
              <w:jc w:val="center"/>
            </w:pPr>
            <w:r>
              <w:rPr>
                <w:sz w:val="20"/>
              </w:rPr>
              <w:t xml:space="preserve">0,0</w:t>
            </w:r>
          </w:p>
        </w:tc>
        <w:tc>
          <w:tcPr>
            <w:tcW w:w="1249" w:type="dxa"/>
            <w:vAlign w:val="center"/>
          </w:tcPr>
          <w:p>
            <w:pPr>
              <w:pStyle w:val="0"/>
              <w:jc w:val="center"/>
            </w:pPr>
            <w:r>
              <w:rPr>
                <w:sz w:val="20"/>
              </w:rPr>
              <w:t xml:space="preserve">5 000,0</w:t>
            </w:r>
          </w:p>
        </w:tc>
        <w:tc>
          <w:tcPr>
            <w:tcW w:w="1928" w:type="dxa"/>
            <w:vAlign w:val="center"/>
          </w:tcPr>
          <w:p>
            <w:pPr>
              <w:pStyle w:val="0"/>
              <w:jc w:val="center"/>
            </w:pPr>
            <w:r>
              <w:rPr>
                <w:sz w:val="20"/>
              </w:rPr>
              <w:t xml:space="preserve">0,0</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61 399</w:t>
            </w:r>
          </w:p>
        </w:tc>
        <w:tc>
          <w:tcPr>
            <w:tcW w:w="1144" w:type="dxa"/>
            <w:vAlign w:val="center"/>
          </w:tcPr>
          <w:p>
            <w:pPr>
              <w:pStyle w:val="0"/>
              <w:jc w:val="center"/>
            </w:pPr>
            <w:r>
              <w:rPr>
                <w:sz w:val="20"/>
              </w:rPr>
              <w:t xml:space="preserve">66 399</w:t>
            </w:r>
          </w:p>
        </w:tc>
      </w:tr>
      <w:tr>
        <w:tc>
          <w:tcPr>
            <w:tcW w:w="1084" w:type="dxa"/>
            <w:vAlign w:val="center"/>
          </w:tcPr>
          <w:p>
            <w:pPr>
              <w:pStyle w:val="0"/>
              <w:jc w:val="center"/>
            </w:pPr>
            <w:r>
              <w:rPr>
                <w:sz w:val="20"/>
              </w:rPr>
              <w:t xml:space="preserve">2019</w:t>
            </w:r>
          </w:p>
        </w:tc>
        <w:tc>
          <w:tcPr>
            <w:tcW w:w="1077" w:type="dxa"/>
            <w:vAlign w:val="center"/>
          </w:tcPr>
          <w:p>
            <w:pPr>
              <w:pStyle w:val="0"/>
              <w:jc w:val="center"/>
            </w:pPr>
            <w:r>
              <w:rPr>
                <w:sz w:val="20"/>
              </w:rPr>
              <w:t xml:space="preserve">0,0</w:t>
            </w:r>
          </w:p>
        </w:tc>
        <w:tc>
          <w:tcPr>
            <w:tcW w:w="1249" w:type="dxa"/>
            <w:vAlign w:val="center"/>
          </w:tcPr>
          <w:p>
            <w:pPr>
              <w:pStyle w:val="0"/>
              <w:jc w:val="center"/>
            </w:pPr>
            <w:r>
              <w:rPr>
                <w:sz w:val="20"/>
              </w:rPr>
              <w:t xml:space="preserve">25 564,0</w:t>
            </w:r>
          </w:p>
        </w:tc>
        <w:tc>
          <w:tcPr>
            <w:tcW w:w="1928" w:type="dxa"/>
            <w:vAlign w:val="center"/>
          </w:tcPr>
          <w:p>
            <w:pPr>
              <w:pStyle w:val="0"/>
              <w:jc w:val="center"/>
            </w:pPr>
            <w:r>
              <w:rPr>
                <w:sz w:val="20"/>
              </w:rPr>
              <w:t xml:space="preserve">4 436,0</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347 120,0</w:t>
            </w:r>
          </w:p>
        </w:tc>
        <w:tc>
          <w:tcPr>
            <w:tcW w:w="1144" w:type="dxa"/>
            <w:vAlign w:val="center"/>
          </w:tcPr>
          <w:p>
            <w:pPr>
              <w:pStyle w:val="0"/>
              <w:jc w:val="center"/>
            </w:pPr>
            <w:r>
              <w:rPr>
                <w:sz w:val="20"/>
              </w:rPr>
              <w:t xml:space="preserve">377 120,0</w:t>
            </w:r>
          </w:p>
        </w:tc>
      </w:tr>
      <w:tr>
        <w:tc>
          <w:tcPr>
            <w:tcW w:w="1084" w:type="dxa"/>
            <w:vAlign w:val="center"/>
          </w:tcPr>
          <w:p>
            <w:pPr>
              <w:pStyle w:val="0"/>
              <w:jc w:val="center"/>
            </w:pPr>
            <w:r>
              <w:rPr>
                <w:sz w:val="20"/>
              </w:rPr>
              <w:t xml:space="preserve">2020</w:t>
            </w:r>
          </w:p>
        </w:tc>
        <w:tc>
          <w:tcPr>
            <w:tcW w:w="1077" w:type="dxa"/>
            <w:vAlign w:val="center"/>
          </w:tcPr>
          <w:p>
            <w:pPr>
              <w:pStyle w:val="0"/>
              <w:jc w:val="center"/>
            </w:pPr>
            <w:r>
              <w:rPr>
                <w:sz w:val="20"/>
              </w:rPr>
              <w:t xml:space="preserve">111059,7</w:t>
            </w:r>
          </w:p>
        </w:tc>
        <w:tc>
          <w:tcPr>
            <w:tcW w:w="1249" w:type="dxa"/>
            <w:vAlign w:val="center"/>
          </w:tcPr>
          <w:p>
            <w:pPr>
              <w:pStyle w:val="0"/>
              <w:jc w:val="center"/>
            </w:pPr>
            <w:r>
              <w:rPr>
                <w:sz w:val="20"/>
              </w:rPr>
              <w:t xml:space="preserve">63726,4</w:t>
            </w:r>
          </w:p>
        </w:tc>
        <w:tc>
          <w:tcPr>
            <w:tcW w:w="1928" w:type="dxa"/>
            <w:vAlign w:val="center"/>
          </w:tcPr>
          <w:p>
            <w:pPr>
              <w:pStyle w:val="0"/>
              <w:jc w:val="center"/>
            </w:pPr>
            <w:r>
              <w:rPr>
                <w:sz w:val="20"/>
              </w:rPr>
              <w:t xml:space="preserve">4835,9</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298 636,1</w:t>
            </w:r>
          </w:p>
        </w:tc>
        <w:tc>
          <w:tcPr>
            <w:tcW w:w="1144" w:type="dxa"/>
            <w:vAlign w:val="center"/>
          </w:tcPr>
          <w:p>
            <w:pPr>
              <w:pStyle w:val="0"/>
              <w:jc w:val="center"/>
            </w:pPr>
            <w:r>
              <w:rPr>
                <w:sz w:val="20"/>
              </w:rPr>
              <w:t xml:space="preserve">598 738,2</w:t>
            </w:r>
          </w:p>
        </w:tc>
      </w:tr>
      <w:tr>
        <w:tc>
          <w:tcPr>
            <w:tcW w:w="1084" w:type="dxa"/>
            <w:vAlign w:val="center"/>
          </w:tcPr>
          <w:p>
            <w:pPr>
              <w:pStyle w:val="0"/>
              <w:jc w:val="center"/>
            </w:pPr>
            <w:r>
              <w:rPr>
                <w:sz w:val="20"/>
              </w:rPr>
              <w:t xml:space="preserve">2021</w:t>
            </w:r>
          </w:p>
        </w:tc>
        <w:tc>
          <w:tcPr>
            <w:tcW w:w="1077" w:type="dxa"/>
            <w:vAlign w:val="center"/>
          </w:tcPr>
          <w:p>
            <w:pPr>
              <w:pStyle w:val="0"/>
              <w:jc w:val="center"/>
            </w:pPr>
            <w:r>
              <w:rPr>
                <w:sz w:val="20"/>
              </w:rPr>
              <w:t xml:space="preserve">9544,3</w:t>
            </w:r>
          </w:p>
        </w:tc>
        <w:tc>
          <w:tcPr>
            <w:tcW w:w="1249" w:type="dxa"/>
            <w:vAlign w:val="center"/>
          </w:tcPr>
          <w:p>
            <w:pPr>
              <w:pStyle w:val="0"/>
              <w:jc w:val="center"/>
            </w:pPr>
            <w:r>
              <w:rPr>
                <w:sz w:val="20"/>
              </w:rPr>
              <w:t xml:space="preserve">41491,2</w:t>
            </w:r>
          </w:p>
        </w:tc>
        <w:tc>
          <w:tcPr>
            <w:tcW w:w="1928" w:type="dxa"/>
            <w:vAlign w:val="center"/>
          </w:tcPr>
          <w:p>
            <w:pPr>
              <w:pStyle w:val="0"/>
              <w:jc w:val="center"/>
            </w:pPr>
            <w:r>
              <w:rPr>
                <w:sz w:val="20"/>
              </w:rPr>
              <w:t xml:space="preserve">3953,07</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84597,7</w:t>
            </w:r>
          </w:p>
        </w:tc>
        <w:tc>
          <w:tcPr>
            <w:tcW w:w="1144" w:type="dxa"/>
            <w:vAlign w:val="center"/>
          </w:tcPr>
          <w:p>
            <w:pPr>
              <w:pStyle w:val="0"/>
              <w:jc w:val="center"/>
            </w:pPr>
            <w:r>
              <w:rPr>
                <w:sz w:val="20"/>
              </w:rPr>
              <w:t xml:space="preserve">139586,27</w:t>
            </w:r>
          </w:p>
        </w:tc>
      </w:tr>
      <w:tr>
        <w:tc>
          <w:tcPr>
            <w:tcW w:w="1084" w:type="dxa"/>
            <w:vAlign w:val="center"/>
          </w:tcPr>
          <w:p>
            <w:pPr>
              <w:pStyle w:val="0"/>
              <w:jc w:val="center"/>
            </w:pPr>
            <w:r>
              <w:rPr>
                <w:sz w:val="20"/>
              </w:rPr>
              <w:t xml:space="preserve">2022</w:t>
            </w:r>
          </w:p>
        </w:tc>
        <w:tc>
          <w:tcPr>
            <w:tcW w:w="1077" w:type="dxa"/>
            <w:vAlign w:val="center"/>
          </w:tcPr>
          <w:p>
            <w:pPr>
              <w:pStyle w:val="0"/>
              <w:jc w:val="center"/>
            </w:pPr>
            <w:r>
              <w:rPr>
                <w:sz w:val="20"/>
              </w:rPr>
              <w:t xml:space="preserve">444097,9</w:t>
            </w:r>
          </w:p>
        </w:tc>
        <w:tc>
          <w:tcPr>
            <w:tcW w:w="1249" w:type="dxa"/>
            <w:vAlign w:val="center"/>
          </w:tcPr>
          <w:p>
            <w:pPr>
              <w:pStyle w:val="0"/>
              <w:jc w:val="center"/>
            </w:pPr>
            <w:r>
              <w:rPr>
                <w:sz w:val="20"/>
              </w:rPr>
              <w:t xml:space="preserve">142900,7</w:t>
            </w:r>
          </w:p>
        </w:tc>
        <w:tc>
          <w:tcPr>
            <w:tcW w:w="1928" w:type="dxa"/>
            <w:vAlign w:val="center"/>
          </w:tcPr>
          <w:p>
            <w:pPr>
              <w:pStyle w:val="0"/>
              <w:jc w:val="center"/>
            </w:pPr>
            <w:r>
              <w:rPr>
                <w:sz w:val="20"/>
              </w:rPr>
              <w:t xml:space="preserve">53144,1</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0,0</w:t>
            </w:r>
          </w:p>
        </w:tc>
        <w:tc>
          <w:tcPr>
            <w:tcW w:w="1144" w:type="dxa"/>
            <w:vAlign w:val="center"/>
          </w:tcPr>
          <w:p>
            <w:pPr>
              <w:pStyle w:val="0"/>
              <w:jc w:val="center"/>
            </w:pPr>
            <w:r>
              <w:rPr>
                <w:sz w:val="20"/>
              </w:rPr>
              <w:t xml:space="preserve">640142,7</w:t>
            </w:r>
          </w:p>
        </w:tc>
      </w:tr>
      <w:tr>
        <w:tc>
          <w:tcPr>
            <w:tcW w:w="1084" w:type="dxa"/>
            <w:vAlign w:val="center"/>
          </w:tcPr>
          <w:p>
            <w:pPr>
              <w:pStyle w:val="0"/>
              <w:jc w:val="center"/>
            </w:pPr>
            <w:r>
              <w:rPr>
                <w:sz w:val="20"/>
              </w:rPr>
              <w:t xml:space="preserve">2023</w:t>
            </w:r>
          </w:p>
          <w:p>
            <w:pPr>
              <w:pStyle w:val="0"/>
              <w:jc w:val="center"/>
            </w:pPr>
            <w:r>
              <w:rPr>
                <w:sz w:val="20"/>
              </w:rPr>
              <w:t xml:space="preserve">(прогноз)</w:t>
            </w:r>
          </w:p>
        </w:tc>
        <w:tc>
          <w:tcPr>
            <w:tcW w:w="1077" w:type="dxa"/>
            <w:vAlign w:val="center"/>
          </w:tcPr>
          <w:p>
            <w:pPr>
              <w:pStyle w:val="0"/>
              <w:jc w:val="center"/>
            </w:pPr>
            <w:r>
              <w:rPr>
                <w:sz w:val="20"/>
              </w:rPr>
              <w:t xml:space="preserve">234726,7</w:t>
            </w:r>
          </w:p>
        </w:tc>
        <w:tc>
          <w:tcPr>
            <w:tcW w:w="1249" w:type="dxa"/>
            <w:vAlign w:val="center"/>
          </w:tcPr>
          <w:p>
            <w:pPr>
              <w:pStyle w:val="0"/>
              <w:jc w:val="center"/>
            </w:pPr>
            <w:r>
              <w:rPr>
                <w:sz w:val="20"/>
              </w:rPr>
              <w:t xml:space="preserve">319002,8</w:t>
            </w:r>
          </w:p>
        </w:tc>
        <w:tc>
          <w:tcPr>
            <w:tcW w:w="1928" w:type="dxa"/>
            <w:vAlign w:val="center"/>
          </w:tcPr>
          <w:p>
            <w:pPr>
              <w:pStyle w:val="0"/>
              <w:jc w:val="center"/>
            </w:pPr>
            <w:r>
              <w:rPr>
                <w:sz w:val="20"/>
              </w:rPr>
              <w:t xml:space="preserve">60114,6</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0,0</w:t>
            </w:r>
          </w:p>
        </w:tc>
        <w:tc>
          <w:tcPr>
            <w:tcW w:w="1144" w:type="dxa"/>
            <w:vAlign w:val="center"/>
          </w:tcPr>
          <w:p>
            <w:pPr>
              <w:pStyle w:val="0"/>
              <w:jc w:val="center"/>
            </w:pPr>
            <w:r>
              <w:rPr>
                <w:sz w:val="20"/>
              </w:rPr>
              <w:t xml:space="preserve">613844,1</w:t>
            </w:r>
          </w:p>
        </w:tc>
      </w:tr>
      <w:tr>
        <w:tc>
          <w:tcPr>
            <w:tcW w:w="1084" w:type="dxa"/>
            <w:vAlign w:val="center"/>
          </w:tcPr>
          <w:p>
            <w:pPr>
              <w:pStyle w:val="0"/>
              <w:jc w:val="center"/>
            </w:pPr>
            <w:r>
              <w:rPr>
                <w:sz w:val="20"/>
              </w:rPr>
              <w:t xml:space="preserve">2024</w:t>
            </w:r>
          </w:p>
          <w:p>
            <w:pPr>
              <w:pStyle w:val="0"/>
              <w:jc w:val="center"/>
            </w:pPr>
            <w:r>
              <w:rPr>
                <w:sz w:val="20"/>
              </w:rPr>
              <w:t xml:space="preserve">(прогноз)</w:t>
            </w:r>
          </w:p>
        </w:tc>
        <w:tc>
          <w:tcPr>
            <w:tcW w:w="1077" w:type="dxa"/>
            <w:vAlign w:val="center"/>
          </w:tcPr>
          <w:p>
            <w:pPr>
              <w:pStyle w:val="0"/>
              <w:jc w:val="center"/>
            </w:pPr>
            <w:r>
              <w:rPr>
                <w:sz w:val="20"/>
              </w:rPr>
              <w:t xml:space="preserve">185650,7</w:t>
            </w:r>
          </w:p>
        </w:tc>
        <w:tc>
          <w:tcPr>
            <w:tcW w:w="1249" w:type="dxa"/>
            <w:vAlign w:val="center"/>
          </w:tcPr>
          <w:p>
            <w:pPr>
              <w:pStyle w:val="0"/>
              <w:jc w:val="center"/>
            </w:pPr>
            <w:r>
              <w:rPr>
                <w:sz w:val="20"/>
              </w:rPr>
              <w:t xml:space="preserve">257269,5</w:t>
            </w:r>
          </w:p>
        </w:tc>
        <w:tc>
          <w:tcPr>
            <w:tcW w:w="1928" w:type="dxa"/>
            <w:vAlign w:val="center"/>
          </w:tcPr>
          <w:p>
            <w:pPr>
              <w:pStyle w:val="0"/>
              <w:jc w:val="center"/>
            </w:pPr>
            <w:r>
              <w:rPr>
                <w:sz w:val="20"/>
              </w:rPr>
              <w:t xml:space="preserve">52660,5</w:t>
            </w:r>
          </w:p>
        </w:tc>
        <w:tc>
          <w:tcPr>
            <w:tcW w:w="1474" w:type="dxa"/>
            <w:vAlign w:val="center"/>
          </w:tcPr>
          <w:p>
            <w:pPr>
              <w:pStyle w:val="0"/>
              <w:jc w:val="center"/>
            </w:pPr>
            <w:r>
              <w:rPr>
                <w:sz w:val="20"/>
              </w:rPr>
              <w:t xml:space="preserve">0,0</w:t>
            </w:r>
          </w:p>
        </w:tc>
        <w:tc>
          <w:tcPr>
            <w:tcW w:w="1077" w:type="dxa"/>
            <w:vAlign w:val="center"/>
          </w:tcPr>
          <w:p>
            <w:pPr>
              <w:pStyle w:val="0"/>
              <w:jc w:val="center"/>
            </w:pPr>
            <w:r>
              <w:rPr>
                <w:sz w:val="20"/>
              </w:rPr>
              <w:t xml:space="preserve">197067</w:t>
            </w:r>
          </w:p>
        </w:tc>
        <w:tc>
          <w:tcPr>
            <w:tcW w:w="1144" w:type="dxa"/>
            <w:vAlign w:val="center"/>
          </w:tcPr>
          <w:p>
            <w:pPr>
              <w:pStyle w:val="0"/>
              <w:jc w:val="center"/>
            </w:pPr>
            <w:r>
              <w:rPr>
                <w:sz w:val="20"/>
              </w:rPr>
              <w:t xml:space="preserve">692647,7</w:t>
            </w:r>
          </w:p>
        </w:tc>
      </w:tr>
      <w:tr>
        <w:tc>
          <w:tcPr>
            <w:tcW w:w="1084" w:type="dxa"/>
            <w:vAlign w:val="center"/>
          </w:tcPr>
          <w:p>
            <w:pPr>
              <w:pStyle w:val="0"/>
              <w:jc w:val="center"/>
            </w:pPr>
            <w:r>
              <w:rPr>
                <w:sz w:val="20"/>
              </w:rPr>
              <w:t xml:space="preserve">Всего</w:t>
            </w:r>
          </w:p>
        </w:tc>
        <w:tc>
          <w:tcPr>
            <w:tcW w:w="1077" w:type="dxa"/>
            <w:vAlign w:val="center"/>
          </w:tcPr>
          <w:p>
            <w:pPr>
              <w:pStyle w:val="0"/>
              <w:jc w:val="center"/>
            </w:pPr>
            <w:r>
              <w:rPr>
                <w:sz w:val="20"/>
              </w:rPr>
              <w:t xml:space="preserve">874019,6</w:t>
            </w:r>
          </w:p>
        </w:tc>
        <w:tc>
          <w:tcPr>
            <w:tcW w:w="1249" w:type="dxa"/>
            <w:vAlign w:val="center"/>
          </w:tcPr>
          <w:p>
            <w:pPr>
              <w:pStyle w:val="0"/>
              <w:jc w:val="center"/>
            </w:pPr>
            <w:r>
              <w:rPr>
                <w:sz w:val="20"/>
              </w:rPr>
              <w:t xml:space="preserve">760664,2</w:t>
            </w:r>
          </w:p>
        </w:tc>
        <w:tc>
          <w:tcPr>
            <w:tcW w:w="1928" w:type="dxa"/>
            <w:vAlign w:val="center"/>
          </w:tcPr>
          <w:p>
            <w:pPr>
              <w:pStyle w:val="0"/>
              <w:jc w:val="center"/>
            </w:pPr>
            <w:r>
              <w:rPr>
                <w:sz w:val="20"/>
              </w:rPr>
              <w:t xml:space="preserve">169872,3</w:t>
            </w:r>
          </w:p>
        </w:tc>
        <w:tc>
          <w:tcPr>
            <w:tcW w:w="1474" w:type="dxa"/>
            <w:vAlign w:val="center"/>
          </w:tcPr>
          <w:p>
            <w:pPr>
              <w:pStyle w:val="0"/>
              <w:jc w:val="center"/>
            </w:pPr>
            <w:r>
              <w:rPr>
                <w:sz w:val="20"/>
              </w:rPr>
              <w:t xml:space="preserve">0</w:t>
            </w:r>
          </w:p>
        </w:tc>
        <w:tc>
          <w:tcPr>
            <w:tcW w:w="1077" w:type="dxa"/>
            <w:vAlign w:val="center"/>
          </w:tcPr>
          <w:p>
            <w:pPr>
              <w:pStyle w:val="0"/>
              <w:jc w:val="center"/>
            </w:pPr>
            <w:r>
              <w:rPr>
                <w:sz w:val="20"/>
              </w:rPr>
              <w:t xml:space="preserve">281664,7</w:t>
            </w:r>
          </w:p>
        </w:tc>
        <w:tc>
          <w:tcPr>
            <w:tcW w:w="1144" w:type="dxa"/>
            <w:vAlign w:val="center"/>
          </w:tcPr>
          <w:p>
            <w:pPr>
              <w:pStyle w:val="0"/>
              <w:jc w:val="center"/>
            </w:pPr>
            <w:r>
              <w:rPr>
                <w:sz w:val="20"/>
              </w:rPr>
              <w:t xml:space="preserve">2086220,8</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2181" w:name="P2181"/>
    <w:bookmarkEnd w:id="2181"/>
    <w:p>
      <w:pPr>
        <w:pStyle w:val="0"/>
        <w:outlineLvl w:val="1"/>
        <w:jc w:val="right"/>
      </w:pPr>
      <w:r>
        <w:rPr>
          <w:sz w:val="20"/>
        </w:rPr>
        <w:t xml:space="preserve">Приложение N 1</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22.03.2021 </w:t>
            </w:r>
            <w:hyperlink w:history="0" r:id="rId186"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25.10.2021 </w:t>
            </w:r>
            <w:hyperlink w:history="0" r:id="rId187"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 от 17.01.2022 </w:t>
            </w:r>
            <w:hyperlink w:history="0" r:id="rId188"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p>
            <w:pPr>
              <w:pStyle w:val="0"/>
              <w:jc w:val="center"/>
            </w:pPr>
            <w:r>
              <w:rPr>
                <w:sz w:val="20"/>
                <w:color w:val="392c69"/>
              </w:rPr>
              <w:t xml:space="preserve">от 06.02.2023 </w:t>
            </w:r>
            <w:hyperlink w:history="0" r:id="rId18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44-пп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Система основных мероприятий и показателей государственной</w:t>
      </w:r>
    </w:p>
    <w:p>
      <w:pPr>
        <w:pStyle w:val="2"/>
        <w:jc w:val="center"/>
      </w:pPr>
      <w:r>
        <w:rPr>
          <w:sz w:val="20"/>
        </w:rPr>
        <w:t xml:space="preserve">программы на 1 этапе реализации</w:t>
      </w:r>
    </w:p>
    <w:p>
      <w:pPr>
        <w:pStyle w:val="0"/>
        <w:jc w:val="center"/>
      </w:pPr>
      <w:r>
        <w:rPr>
          <w:sz w:val="20"/>
        </w:rPr>
      </w:r>
    </w:p>
    <w:p>
      <w:pPr>
        <w:pStyle w:val="0"/>
        <w:jc w:val="right"/>
      </w:pPr>
      <w:r>
        <w:rPr>
          <w:sz w:val="20"/>
        </w:rPr>
        <w:t xml:space="preserve">Таблица 1</w:t>
      </w:r>
    </w:p>
    <w:p>
      <w:pPr>
        <w:pStyle w:val="0"/>
        <w:jc w:val="right"/>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2359"/>
        <w:gridCol w:w="2749"/>
        <w:gridCol w:w="1384"/>
        <w:gridCol w:w="1191"/>
        <w:gridCol w:w="2539"/>
        <w:gridCol w:w="1144"/>
        <w:gridCol w:w="1024"/>
        <w:gridCol w:w="1024"/>
        <w:gridCol w:w="844"/>
        <w:gridCol w:w="844"/>
        <w:gridCol w:w="844"/>
        <w:gridCol w:w="844"/>
      </w:tblGrid>
      <w:tr>
        <w:tc>
          <w:tcPr>
            <w:tcW w:w="544" w:type="dxa"/>
            <w:vMerge w:val="restart"/>
          </w:tcPr>
          <w:p>
            <w:pPr>
              <w:pStyle w:val="0"/>
              <w:jc w:val="center"/>
            </w:pPr>
            <w:r>
              <w:rPr>
                <w:sz w:val="20"/>
              </w:rPr>
              <w:t xml:space="preserve">N</w:t>
            </w:r>
          </w:p>
        </w:tc>
        <w:tc>
          <w:tcPr>
            <w:tcW w:w="2359" w:type="dxa"/>
            <w:vMerge w:val="restart"/>
          </w:tcPr>
          <w:p>
            <w:pPr>
              <w:pStyle w:val="0"/>
              <w:jc w:val="center"/>
            </w:pPr>
            <w:r>
              <w:rPr>
                <w:sz w:val="20"/>
              </w:rPr>
              <w:t xml:space="preserve">Наименование государственной программы, подпрограмм, мероприятий</w:t>
            </w:r>
          </w:p>
        </w:tc>
        <w:tc>
          <w:tcPr>
            <w:tcW w:w="2749"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1384" w:type="dxa"/>
            <w:vMerge w:val="restart"/>
          </w:tcPr>
          <w:p>
            <w:pPr>
              <w:pStyle w:val="0"/>
              <w:jc w:val="center"/>
            </w:pPr>
            <w:r>
              <w:rPr>
                <w:sz w:val="20"/>
              </w:rPr>
              <w:t xml:space="preserve">Срок реализации (начало, завершение)</w:t>
            </w:r>
          </w:p>
        </w:tc>
        <w:tc>
          <w:tcPr>
            <w:tcW w:w="1191" w:type="dxa"/>
            <w:vMerge w:val="restart"/>
          </w:tcPr>
          <w:p>
            <w:pPr>
              <w:pStyle w:val="0"/>
              <w:jc w:val="center"/>
            </w:pPr>
            <w:r>
              <w:rPr>
                <w:sz w:val="20"/>
              </w:rPr>
              <w:t xml:space="preserve">Вид показателя</w:t>
            </w:r>
          </w:p>
        </w:tc>
        <w:tc>
          <w:tcPr>
            <w:tcW w:w="2539" w:type="dxa"/>
            <w:vMerge w:val="restart"/>
          </w:tcPr>
          <w:p>
            <w:pPr>
              <w:pStyle w:val="0"/>
              <w:jc w:val="center"/>
            </w:pPr>
            <w:r>
              <w:rPr>
                <w:sz w:val="20"/>
              </w:rPr>
              <w:t xml:space="preserve">Наименование показателя, единица измерения</w:t>
            </w:r>
          </w:p>
        </w:tc>
        <w:tc>
          <w:tcPr>
            <w:gridSpan w:val="7"/>
            <w:tcW w:w="6568"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44" w:type="dxa"/>
          </w:tcPr>
          <w:p>
            <w:pPr>
              <w:pStyle w:val="0"/>
              <w:jc w:val="center"/>
            </w:pPr>
            <w:r>
              <w:rPr>
                <w:sz w:val="20"/>
              </w:rPr>
              <w:t xml:space="preserve">2014 год</w:t>
            </w:r>
          </w:p>
        </w:tc>
        <w:tc>
          <w:tcPr>
            <w:tcW w:w="1024" w:type="dxa"/>
          </w:tcPr>
          <w:p>
            <w:pPr>
              <w:pStyle w:val="0"/>
              <w:jc w:val="center"/>
            </w:pPr>
            <w:r>
              <w:rPr>
                <w:sz w:val="20"/>
              </w:rPr>
              <w:t xml:space="preserve">2015 год</w:t>
            </w:r>
          </w:p>
        </w:tc>
        <w:tc>
          <w:tcPr>
            <w:tcW w:w="1024" w:type="dxa"/>
          </w:tcPr>
          <w:p>
            <w:pPr>
              <w:pStyle w:val="0"/>
              <w:jc w:val="center"/>
            </w:pPr>
            <w:r>
              <w:rPr>
                <w:sz w:val="20"/>
              </w:rPr>
              <w:t xml:space="preserve">2016 год</w:t>
            </w:r>
          </w:p>
        </w:tc>
        <w:tc>
          <w:tcPr>
            <w:tcW w:w="844" w:type="dxa"/>
          </w:tcPr>
          <w:p>
            <w:pPr>
              <w:pStyle w:val="0"/>
              <w:jc w:val="center"/>
            </w:pPr>
            <w:r>
              <w:rPr>
                <w:sz w:val="20"/>
              </w:rPr>
              <w:t xml:space="preserve">2017 год</w:t>
            </w:r>
          </w:p>
        </w:tc>
        <w:tc>
          <w:tcPr>
            <w:tcW w:w="844" w:type="dxa"/>
          </w:tcPr>
          <w:p>
            <w:pPr>
              <w:pStyle w:val="0"/>
              <w:jc w:val="center"/>
            </w:pPr>
            <w:r>
              <w:rPr>
                <w:sz w:val="20"/>
              </w:rPr>
              <w:t xml:space="preserve">2018 год</w:t>
            </w:r>
          </w:p>
        </w:tc>
        <w:tc>
          <w:tcPr>
            <w:tcW w:w="844" w:type="dxa"/>
          </w:tcPr>
          <w:p>
            <w:pPr>
              <w:pStyle w:val="0"/>
              <w:jc w:val="center"/>
            </w:pPr>
            <w:r>
              <w:rPr>
                <w:sz w:val="20"/>
              </w:rPr>
              <w:t xml:space="preserve">2019 год</w:t>
            </w:r>
          </w:p>
        </w:tc>
        <w:tc>
          <w:tcPr>
            <w:tcW w:w="844" w:type="dxa"/>
          </w:tcPr>
          <w:p>
            <w:pPr>
              <w:pStyle w:val="0"/>
              <w:jc w:val="center"/>
            </w:pPr>
            <w:r>
              <w:rPr>
                <w:sz w:val="20"/>
              </w:rPr>
              <w:t xml:space="preserve">2020 год</w:t>
            </w:r>
          </w:p>
        </w:tc>
      </w:tr>
      <w:tr>
        <w:tc>
          <w:tcPr>
            <w:tcW w:w="544" w:type="dxa"/>
          </w:tcPr>
          <w:p>
            <w:pPr>
              <w:pStyle w:val="0"/>
              <w:jc w:val="center"/>
            </w:pPr>
            <w:r>
              <w:rPr>
                <w:sz w:val="20"/>
              </w:rPr>
              <w:t xml:space="preserve">1</w:t>
            </w:r>
          </w:p>
        </w:tc>
        <w:tc>
          <w:tcPr>
            <w:tcW w:w="2359" w:type="dxa"/>
          </w:tcPr>
          <w:p>
            <w:pPr>
              <w:pStyle w:val="0"/>
              <w:jc w:val="center"/>
            </w:pPr>
            <w:r>
              <w:rPr>
                <w:sz w:val="20"/>
              </w:rPr>
              <w:t xml:space="preserve">2</w:t>
            </w:r>
          </w:p>
        </w:tc>
        <w:tc>
          <w:tcPr>
            <w:tcW w:w="2749" w:type="dxa"/>
          </w:tcPr>
          <w:p>
            <w:pPr>
              <w:pStyle w:val="0"/>
              <w:jc w:val="center"/>
            </w:pPr>
            <w:r>
              <w:rPr>
                <w:sz w:val="20"/>
              </w:rPr>
              <w:t xml:space="preserve">3</w:t>
            </w:r>
          </w:p>
        </w:tc>
        <w:tc>
          <w:tcPr>
            <w:tcW w:w="1384" w:type="dxa"/>
          </w:tcPr>
          <w:p>
            <w:pPr>
              <w:pStyle w:val="0"/>
              <w:jc w:val="center"/>
            </w:pPr>
            <w:r>
              <w:rPr>
                <w:sz w:val="20"/>
              </w:rPr>
              <w:t xml:space="preserve">4</w:t>
            </w:r>
          </w:p>
        </w:tc>
        <w:tc>
          <w:tcPr>
            <w:tcW w:w="1191" w:type="dxa"/>
          </w:tcPr>
          <w:p>
            <w:pPr>
              <w:pStyle w:val="0"/>
              <w:jc w:val="center"/>
            </w:pPr>
            <w:r>
              <w:rPr>
                <w:sz w:val="20"/>
              </w:rPr>
              <w:t xml:space="preserve">5</w:t>
            </w:r>
          </w:p>
        </w:tc>
        <w:tc>
          <w:tcPr>
            <w:tcW w:w="2539" w:type="dxa"/>
          </w:tcPr>
          <w:p>
            <w:pPr>
              <w:pStyle w:val="0"/>
              <w:jc w:val="center"/>
            </w:pPr>
            <w:r>
              <w:rPr>
                <w:sz w:val="20"/>
              </w:rPr>
              <w:t xml:space="preserve">6</w:t>
            </w:r>
          </w:p>
        </w:tc>
        <w:tc>
          <w:tcPr>
            <w:tcW w:w="1144" w:type="dxa"/>
          </w:tcPr>
          <w:p>
            <w:pPr>
              <w:pStyle w:val="0"/>
              <w:jc w:val="center"/>
            </w:pPr>
            <w:r>
              <w:rPr>
                <w:sz w:val="20"/>
              </w:rPr>
              <w:t xml:space="preserve">7</w:t>
            </w:r>
          </w:p>
        </w:tc>
        <w:tc>
          <w:tcPr>
            <w:tcW w:w="1024" w:type="dxa"/>
          </w:tcPr>
          <w:p>
            <w:pPr>
              <w:pStyle w:val="0"/>
              <w:jc w:val="center"/>
            </w:pPr>
            <w:r>
              <w:rPr>
                <w:sz w:val="20"/>
              </w:rPr>
              <w:t xml:space="preserve">8</w:t>
            </w:r>
          </w:p>
        </w:tc>
        <w:tc>
          <w:tcPr>
            <w:tcW w:w="1024" w:type="dxa"/>
          </w:tcPr>
          <w:p>
            <w:pPr>
              <w:pStyle w:val="0"/>
              <w:jc w:val="center"/>
            </w:pPr>
            <w:r>
              <w:rPr>
                <w:sz w:val="20"/>
              </w:rPr>
              <w:t xml:space="preserve">9</w:t>
            </w:r>
          </w:p>
        </w:tc>
        <w:tc>
          <w:tcPr>
            <w:tcW w:w="844" w:type="dxa"/>
          </w:tcPr>
          <w:p>
            <w:pPr>
              <w:pStyle w:val="0"/>
              <w:jc w:val="center"/>
            </w:pPr>
            <w:r>
              <w:rPr>
                <w:sz w:val="20"/>
              </w:rPr>
              <w:t xml:space="preserve">10</w:t>
            </w:r>
          </w:p>
        </w:tc>
        <w:tc>
          <w:tcPr>
            <w:tcW w:w="844" w:type="dxa"/>
          </w:tcPr>
          <w:p>
            <w:pPr>
              <w:pStyle w:val="0"/>
              <w:jc w:val="center"/>
            </w:pPr>
            <w:r>
              <w:rPr>
                <w:sz w:val="20"/>
              </w:rPr>
              <w:t xml:space="preserve">11</w:t>
            </w:r>
          </w:p>
        </w:tc>
        <w:tc>
          <w:tcPr>
            <w:tcW w:w="844" w:type="dxa"/>
          </w:tcPr>
          <w:p>
            <w:pPr>
              <w:pStyle w:val="0"/>
              <w:jc w:val="center"/>
            </w:pPr>
            <w:r>
              <w:rPr>
                <w:sz w:val="20"/>
              </w:rPr>
              <w:t xml:space="preserve">12</w:t>
            </w:r>
          </w:p>
        </w:tc>
        <w:tc>
          <w:tcPr>
            <w:tcW w:w="844" w:type="dxa"/>
          </w:tcPr>
          <w:p>
            <w:pPr>
              <w:pStyle w:val="0"/>
              <w:jc w:val="center"/>
            </w:pPr>
            <w:r>
              <w:rPr>
                <w:sz w:val="20"/>
              </w:rPr>
              <w:t xml:space="preserve">13</w:t>
            </w:r>
          </w:p>
        </w:tc>
      </w:tr>
      <w:tr>
        <w:tc>
          <w:tcPr>
            <w:tcW w:w="544" w:type="dxa"/>
            <w:vAlign w:val="center"/>
            <w:vMerge w:val="restart"/>
          </w:tcPr>
          <w:p>
            <w:pPr>
              <w:pStyle w:val="0"/>
              <w:jc w:val="center"/>
            </w:pPr>
            <w:r>
              <w:rPr>
                <w:sz w:val="20"/>
              </w:rPr>
              <w:t xml:space="preserve">1</w:t>
            </w:r>
          </w:p>
        </w:tc>
        <w:tc>
          <w:tcPr>
            <w:tcW w:w="2359" w:type="dxa"/>
            <w:vAlign w:val="center"/>
            <w:vMerge w:val="restart"/>
          </w:tcPr>
          <w:p>
            <w:pPr>
              <w:pStyle w:val="0"/>
              <w:jc w:val="center"/>
            </w:pPr>
            <w:r>
              <w:rPr>
                <w:sz w:val="20"/>
              </w:rPr>
              <w:t xml:space="preserve">"Развитие водного и лесного хозяйства Белгородской области, охрана окружающей среды". Цель: сохранение, восстановление и рациональное использование природных ресурсов и охрана окружающей среды области</w:t>
            </w:r>
          </w:p>
        </w:tc>
        <w:tc>
          <w:tcPr>
            <w:tcW w:w="2749"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vMerge w:val="restart"/>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1. 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процентов</w:t>
            </w:r>
          </w:p>
        </w:tc>
        <w:tc>
          <w:tcPr>
            <w:tcW w:w="1144" w:type="dxa"/>
            <w:vAlign w:val="center"/>
          </w:tcPr>
          <w:p>
            <w:pPr>
              <w:pStyle w:val="0"/>
              <w:jc w:val="center"/>
            </w:pPr>
            <w:r>
              <w:rPr>
                <w:sz w:val="20"/>
              </w:rPr>
              <w:t xml:space="preserve">35</w:t>
            </w:r>
          </w:p>
        </w:tc>
        <w:tc>
          <w:tcPr>
            <w:tcW w:w="1024" w:type="dxa"/>
            <w:vAlign w:val="center"/>
          </w:tcPr>
          <w:p>
            <w:pPr>
              <w:pStyle w:val="0"/>
              <w:jc w:val="center"/>
            </w:pPr>
            <w:r>
              <w:rPr>
                <w:sz w:val="20"/>
              </w:rPr>
              <w:t xml:space="preserve">38</w:t>
            </w:r>
          </w:p>
        </w:tc>
        <w:tc>
          <w:tcPr>
            <w:tcW w:w="1024" w:type="dxa"/>
            <w:vAlign w:val="center"/>
          </w:tcPr>
          <w:p>
            <w:pPr>
              <w:pStyle w:val="0"/>
              <w:jc w:val="center"/>
            </w:pPr>
            <w:r>
              <w:rPr>
                <w:sz w:val="20"/>
              </w:rPr>
              <w:t xml:space="preserve">38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2. Удельный вес выбросов загрязняющих веществ в атмосферный воздух от стационарных источников, тонн/млн руб. ВРП</w:t>
            </w:r>
          </w:p>
        </w:tc>
        <w:tc>
          <w:tcPr>
            <w:tcW w:w="1144" w:type="dxa"/>
            <w:vAlign w:val="center"/>
          </w:tcPr>
          <w:p>
            <w:pPr>
              <w:pStyle w:val="0"/>
              <w:jc w:val="center"/>
            </w:pPr>
            <w:r>
              <w:rPr>
                <w:sz w:val="20"/>
              </w:rPr>
              <w:t xml:space="preserve">0,185</w:t>
            </w:r>
          </w:p>
        </w:tc>
        <w:tc>
          <w:tcPr>
            <w:tcW w:w="1024" w:type="dxa"/>
            <w:vAlign w:val="center"/>
          </w:tcPr>
          <w:p>
            <w:pPr>
              <w:pStyle w:val="0"/>
              <w:jc w:val="center"/>
            </w:pPr>
            <w:r>
              <w:rPr>
                <w:sz w:val="20"/>
              </w:rPr>
              <w:t xml:space="preserve">0,159</w:t>
            </w:r>
          </w:p>
        </w:tc>
        <w:tc>
          <w:tcPr>
            <w:tcW w:w="1024" w:type="dxa"/>
            <w:vAlign w:val="center"/>
          </w:tcPr>
          <w:p>
            <w:pPr>
              <w:pStyle w:val="0"/>
              <w:jc w:val="center"/>
            </w:pPr>
            <w:r>
              <w:rPr>
                <w:sz w:val="20"/>
              </w:rPr>
              <w:t xml:space="preserve">0,14</w:t>
            </w:r>
          </w:p>
        </w:tc>
        <w:tc>
          <w:tcPr>
            <w:tcW w:w="844" w:type="dxa"/>
            <w:vAlign w:val="center"/>
          </w:tcPr>
          <w:p>
            <w:pPr>
              <w:pStyle w:val="0"/>
              <w:jc w:val="center"/>
            </w:pPr>
            <w:r>
              <w:rPr>
                <w:sz w:val="20"/>
              </w:rPr>
              <w:t xml:space="preserve">0,125</w:t>
            </w:r>
          </w:p>
        </w:tc>
        <w:tc>
          <w:tcPr>
            <w:tcW w:w="844" w:type="dxa"/>
            <w:vAlign w:val="center"/>
          </w:tcPr>
          <w:p>
            <w:pPr>
              <w:pStyle w:val="0"/>
              <w:jc w:val="center"/>
            </w:pPr>
            <w:r>
              <w:rPr>
                <w:sz w:val="20"/>
              </w:rPr>
              <w:t xml:space="preserve">0,113</w:t>
            </w:r>
          </w:p>
        </w:tc>
        <w:tc>
          <w:tcPr>
            <w:tcW w:w="844" w:type="dxa"/>
            <w:vAlign w:val="center"/>
          </w:tcPr>
          <w:p>
            <w:pPr>
              <w:pStyle w:val="0"/>
              <w:jc w:val="center"/>
            </w:pPr>
            <w:r>
              <w:rPr>
                <w:sz w:val="20"/>
              </w:rPr>
              <w:t xml:space="preserve">0,133</w:t>
            </w:r>
          </w:p>
        </w:tc>
        <w:tc>
          <w:tcPr>
            <w:tcW w:w="844" w:type="dxa"/>
            <w:vAlign w:val="center"/>
          </w:tcPr>
          <w:p>
            <w:pPr>
              <w:pStyle w:val="0"/>
              <w:jc w:val="center"/>
            </w:pPr>
            <w:r>
              <w:rPr>
                <w:sz w:val="20"/>
              </w:rPr>
              <w:t xml:space="preserve">0,125</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3. Удельный объем сбросов загрязненных сточных вод, куб. м/млн руб. ВРП</w:t>
            </w:r>
          </w:p>
        </w:tc>
        <w:tc>
          <w:tcPr>
            <w:tcW w:w="1144" w:type="dxa"/>
            <w:vAlign w:val="center"/>
          </w:tcPr>
          <w:p>
            <w:pPr>
              <w:pStyle w:val="0"/>
              <w:jc w:val="center"/>
            </w:pPr>
            <w:r>
              <w:rPr>
                <w:sz w:val="20"/>
              </w:rPr>
              <w:t xml:space="preserve">0,094</w:t>
            </w:r>
          </w:p>
        </w:tc>
        <w:tc>
          <w:tcPr>
            <w:tcW w:w="1024" w:type="dxa"/>
            <w:vAlign w:val="center"/>
          </w:tcPr>
          <w:p>
            <w:pPr>
              <w:pStyle w:val="0"/>
              <w:jc w:val="center"/>
            </w:pPr>
            <w:r>
              <w:rPr>
                <w:sz w:val="20"/>
              </w:rPr>
              <w:t xml:space="preserve">0,08</w:t>
            </w:r>
          </w:p>
        </w:tc>
        <w:tc>
          <w:tcPr>
            <w:tcW w:w="1024" w:type="dxa"/>
            <w:vAlign w:val="center"/>
          </w:tcPr>
          <w:p>
            <w:pPr>
              <w:pStyle w:val="0"/>
              <w:jc w:val="center"/>
            </w:pPr>
            <w:r>
              <w:rPr>
                <w:sz w:val="20"/>
              </w:rPr>
              <w:t xml:space="preserve">0,07</w:t>
            </w:r>
          </w:p>
        </w:tc>
        <w:tc>
          <w:tcPr>
            <w:tcW w:w="844" w:type="dxa"/>
            <w:vAlign w:val="center"/>
          </w:tcPr>
          <w:p>
            <w:pPr>
              <w:pStyle w:val="0"/>
              <w:jc w:val="center"/>
            </w:pPr>
            <w:r>
              <w:rPr>
                <w:sz w:val="20"/>
              </w:rPr>
              <w:t xml:space="preserve">0,062</w:t>
            </w:r>
          </w:p>
        </w:tc>
        <w:tc>
          <w:tcPr>
            <w:tcW w:w="844" w:type="dxa"/>
            <w:vAlign w:val="center"/>
          </w:tcPr>
          <w:p>
            <w:pPr>
              <w:pStyle w:val="0"/>
              <w:jc w:val="center"/>
            </w:pPr>
            <w:r>
              <w:rPr>
                <w:sz w:val="20"/>
              </w:rPr>
              <w:t xml:space="preserve">0,052</w:t>
            </w:r>
          </w:p>
        </w:tc>
        <w:tc>
          <w:tcPr>
            <w:tcW w:w="844" w:type="dxa"/>
            <w:vAlign w:val="center"/>
          </w:tcPr>
          <w:p>
            <w:pPr>
              <w:pStyle w:val="0"/>
              <w:jc w:val="center"/>
            </w:pPr>
            <w:r>
              <w:rPr>
                <w:sz w:val="20"/>
              </w:rPr>
              <w:t xml:space="preserve">0,078</w:t>
            </w:r>
          </w:p>
        </w:tc>
        <w:tc>
          <w:tcPr>
            <w:tcW w:w="844" w:type="dxa"/>
            <w:vAlign w:val="center"/>
          </w:tcPr>
          <w:p>
            <w:pPr>
              <w:pStyle w:val="0"/>
              <w:jc w:val="center"/>
            </w:pPr>
            <w:r>
              <w:rPr>
                <w:sz w:val="20"/>
              </w:rPr>
              <w:t xml:space="preserve">0,073</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4. Удельный объем образующихся отходов производства и потребления, тонн/млн руб. ВРП</w:t>
            </w:r>
          </w:p>
        </w:tc>
        <w:tc>
          <w:tcPr>
            <w:tcW w:w="1144" w:type="dxa"/>
            <w:vAlign w:val="center"/>
          </w:tcPr>
          <w:p>
            <w:pPr>
              <w:pStyle w:val="0"/>
              <w:jc w:val="center"/>
            </w:pPr>
            <w:r>
              <w:rPr>
                <w:sz w:val="20"/>
              </w:rPr>
              <w:t xml:space="preserve">172,1</w:t>
            </w:r>
          </w:p>
        </w:tc>
        <w:tc>
          <w:tcPr>
            <w:tcW w:w="1024" w:type="dxa"/>
            <w:vAlign w:val="center"/>
          </w:tcPr>
          <w:p>
            <w:pPr>
              <w:pStyle w:val="0"/>
              <w:jc w:val="center"/>
            </w:pPr>
            <w:r>
              <w:rPr>
                <w:sz w:val="20"/>
              </w:rPr>
              <w:t xml:space="preserve">155,9</w:t>
            </w:r>
          </w:p>
        </w:tc>
        <w:tc>
          <w:tcPr>
            <w:tcW w:w="1024" w:type="dxa"/>
            <w:vAlign w:val="center"/>
          </w:tcPr>
          <w:p>
            <w:pPr>
              <w:pStyle w:val="0"/>
              <w:jc w:val="center"/>
            </w:pPr>
            <w:r>
              <w:rPr>
                <w:sz w:val="20"/>
              </w:rPr>
              <w:t xml:space="preserve">141,3</w:t>
            </w:r>
          </w:p>
        </w:tc>
        <w:tc>
          <w:tcPr>
            <w:tcW w:w="844" w:type="dxa"/>
            <w:vAlign w:val="center"/>
          </w:tcPr>
          <w:p>
            <w:pPr>
              <w:pStyle w:val="0"/>
              <w:jc w:val="center"/>
            </w:pPr>
            <w:r>
              <w:rPr>
                <w:sz w:val="20"/>
              </w:rPr>
              <w:t xml:space="preserve">131,3</w:t>
            </w:r>
          </w:p>
        </w:tc>
        <w:tc>
          <w:tcPr>
            <w:tcW w:w="844" w:type="dxa"/>
            <w:vAlign w:val="center"/>
          </w:tcPr>
          <w:p>
            <w:pPr>
              <w:pStyle w:val="0"/>
              <w:jc w:val="center"/>
            </w:pPr>
            <w:r>
              <w:rPr>
                <w:sz w:val="20"/>
              </w:rPr>
              <w:t xml:space="preserve">121,6</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5. Индекс прироста численности косули, процентов</w:t>
            </w:r>
          </w:p>
        </w:tc>
        <w:tc>
          <w:tcPr>
            <w:tcW w:w="1144" w:type="dxa"/>
            <w:vAlign w:val="center"/>
          </w:tcPr>
          <w:p>
            <w:pPr>
              <w:pStyle w:val="0"/>
              <w:jc w:val="center"/>
            </w:pPr>
            <w:r>
              <w:rPr>
                <w:sz w:val="20"/>
              </w:rPr>
              <w:t xml:space="preserve">16,7</w:t>
            </w:r>
          </w:p>
        </w:tc>
        <w:tc>
          <w:tcPr>
            <w:tcW w:w="1024" w:type="dxa"/>
            <w:vAlign w:val="center"/>
          </w:tcPr>
          <w:p>
            <w:pPr>
              <w:pStyle w:val="0"/>
              <w:jc w:val="center"/>
            </w:pPr>
            <w:r>
              <w:rPr>
                <w:sz w:val="20"/>
              </w:rPr>
              <w:t xml:space="preserve">16,9</w:t>
            </w:r>
          </w:p>
        </w:tc>
        <w:tc>
          <w:tcPr>
            <w:tcW w:w="1024" w:type="dxa"/>
            <w:vAlign w:val="center"/>
          </w:tcPr>
          <w:p>
            <w:pPr>
              <w:pStyle w:val="0"/>
              <w:jc w:val="center"/>
            </w:pPr>
            <w:r>
              <w:rPr>
                <w:sz w:val="20"/>
              </w:rPr>
              <w:t xml:space="preserve">17,1</w:t>
            </w:r>
          </w:p>
        </w:tc>
        <w:tc>
          <w:tcPr>
            <w:tcW w:w="844" w:type="dxa"/>
            <w:vAlign w:val="center"/>
          </w:tcPr>
          <w:p>
            <w:pPr>
              <w:pStyle w:val="0"/>
              <w:jc w:val="center"/>
            </w:pPr>
            <w:r>
              <w:rPr>
                <w:sz w:val="20"/>
              </w:rPr>
              <w:t xml:space="preserve">17,3</w:t>
            </w:r>
          </w:p>
        </w:tc>
        <w:tc>
          <w:tcPr>
            <w:tcW w:w="844" w:type="dxa"/>
            <w:vAlign w:val="center"/>
          </w:tcPr>
          <w:p>
            <w:pPr>
              <w:pStyle w:val="0"/>
              <w:jc w:val="center"/>
            </w:pPr>
            <w:r>
              <w:rPr>
                <w:sz w:val="20"/>
              </w:rPr>
              <w:t xml:space="preserve">17,9</w:t>
            </w:r>
          </w:p>
        </w:tc>
        <w:tc>
          <w:tcPr>
            <w:tcW w:w="844" w:type="dxa"/>
            <w:vAlign w:val="center"/>
          </w:tcPr>
          <w:p>
            <w:pPr>
              <w:pStyle w:val="0"/>
              <w:jc w:val="center"/>
            </w:pPr>
            <w:r>
              <w:rPr>
                <w:sz w:val="20"/>
              </w:rPr>
              <w:t xml:space="preserve">18,1</w:t>
            </w:r>
          </w:p>
        </w:tc>
        <w:tc>
          <w:tcPr>
            <w:tcW w:w="844" w:type="dxa"/>
            <w:vAlign w:val="center"/>
          </w:tcPr>
          <w:p>
            <w:pPr>
              <w:pStyle w:val="0"/>
              <w:jc w:val="center"/>
            </w:pPr>
            <w:r>
              <w:rPr>
                <w:sz w:val="20"/>
              </w:rPr>
              <w:t xml:space="preserve">18,3</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tcW w:w="544" w:type="dxa"/>
            <w:vAlign w:val="center"/>
            <w:vMerge w:val="restart"/>
          </w:tcPr>
          <w:p>
            <w:pPr>
              <w:pStyle w:val="0"/>
              <w:jc w:val="center"/>
            </w:pPr>
            <w:r>
              <w:rPr>
                <w:sz w:val="20"/>
              </w:rPr>
              <w:t xml:space="preserve">2</w:t>
            </w:r>
          </w:p>
        </w:tc>
        <w:tc>
          <w:tcPr>
            <w:tcW w:w="2359" w:type="dxa"/>
            <w:vAlign w:val="center"/>
            <w:vMerge w:val="restart"/>
          </w:tcPr>
          <w:p>
            <w:pPr>
              <w:pStyle w:val="0"/>
              <w:jc w:val="center"/>
            </w:pPr>
            <w:r>
              <w:rPr>
                <w:sz w:val="20"/>
              </w:rPr>
              <w:t xml:space="preserve">Подпрограмма 1 "Развитие лесного хозяйства"</w:t>
            </w:r>
          </w:p>
        </w:tc>
        <w:tc>
          <w:tcPr>
            <w:tcW w:w="2749" w:type="dxa"/>
            <w:vAlign w:val="center"/>
            <w:vMerge w:val="restart"/>
          </w:tcPr>
          <w:p>
            <w:pPr>
              <w:pStyle w:val="0"/>
              <w:jc w:val="center"/>
            </w:pPr>
            <w:r>
              <w:rPr>
                <w:sz w:val="20"/>
              </w:rPr>
              <w:t xml:space="preserve">Управление лесами Белгородской области</w:t>
            </w:r>
          </w:p>
        </w:tc>
        <w:tc>
          <w:tcPr>
            <w:tcW w:w="1384" w:type="dxa"/>
            <w:vAlign w:val="center"/>
            <w:vMerge w:val="restart"/>
          </w:tcPr>
          <w:p>
            <w:pPr>
              <w:pStyle w:val="0"/>
              <w:jc w:val="center"/>
            </w:pPr>
            <w:r>
              <w:rPr>
                <w:sz w:val="20"/>
              </w:rPr>
              <w:t xml:space="preserve">2014 - 2025</w:t>
            </w: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 процентов</w:t>
            </w:r>
          </w:p>
        </w:tc>
        <w:tc>
          <w:tcPr>
            <w:tcW w:w="1144" w:type="dxa"/>
            <w:vAlign w:val="center"/>
          </w:tcPr>
          <w:p>
            <w:pPr>
              <w:pStyle w:val="0"/>
              <w:jc w:val="center"/>
            </w:pPr>
            <w:r>
              <w:rPr>
                <w:sz w:val="20"/>
              </w:rPr>
              <w:t xml:space="preserve">0,091</w:t>
            </w:r>
          </w:p>
        </w:tc>
        <w:tc>
          <w:tcPr>
            <w:tcW w:w="1024" w:type="dxa"/>
            <w:vAlign w:val="center"/>
          </w:tcPr>
          <w:p>
            <w:pPr>
              <w:pStyle w:val="0"/>
              <w:jc w:val="center"/>
            </w:pPr>
            <w:r>
              <w:rPr>
                <w:sz w:val="20"/>
              </w:rPr>
              <w:t xml:space="preserve">0,089</w:t>
            </w:r>
          </w:p>
        </w:tc>
        <w:tc>
          <w:tcPr>
            <w:tcW w:w="1024" w:type="dxa"/>
            <w:vAlign w:val="center"/>
          </w:tcPr>
          <w:p>
            <w:pPr>
              <w:pStyle w:val="0"/>
              <w:jc w:val="center"/>
            </w:pPr>
            <w:r>
              <w:rPr>
                <w:sz w:val="20"/>
              </w:rPr>
              <w:t xml:space="preserve">0,088</w:t>
            </w:r>
          </w:p>
        </w:tc>
        <w:tc>
          <w:tcPr>
            <w:tcW w:w="844" w:type="dxa"/>
            <w:vAlign w:val="center"/>
          </w:tcPr>
          <w:p>
            <w:pPr>
              <w:pStyle w:val="0"/>
              <w:jc w:val="center"/>
            </w:pPr>
            <w:r>
              <w:rPr>
                <w:sz w:val="20"/>
              </w:rPr>
              <w:t xml:space="preserve">0,087</w:t>
            </w:r>
          </w:p>
        </w:tc>
        <w:tc>
          <w:tcPr>
            <w:tcW w:w="844" w:type="dxa"/>
            <w:vAlign w:val="center"/>
          </w:tcPr>
          <w:p>
            <w:pPr>
              <w:pStyle w:val="0"/>
              <w:jc w:val="center"/>
            </w:pPr>
            <w:r>
              <w:rPr>
                <w:sz w:val="20"/>
              </w:rPr>
              <w:t xml:space="preserve">0,085</w:t>
            </w:r>
          </w:p>
        </w:tc>
        <w:tc>
          <w:tcPr>
            <w:tcW w:w="844" w:type="dxa"/>
            <w:vAlign w:val="center"/>
          </w:tcPr>
          <w:p>
            <w:pPr>
              <w:pStyle w:val="0"/>
              <w:jc w:val="center"/>
            </w:pPr>
            <w:r>
              <w:rPr>
                <w:sz w:val="20"/>
              </w:rPr>
              <w:t xml:space="preserve">0,084</w:t>
            </w:r>
          </w:p>
        </w:tc>
        <w:tc>
          <w:tcPr>
            <w:tcW w:w="844" w:type="dxa"/>
            <w:vAlign w:val="center"/>
          </w:tcPr>
          <w:p>
            <w:pPr>
              <w:pStyle w:val="0"/>
              <w:jc w:val="center"/>
            </w:pPr>
            <w:r>
              <w:rPr>
                <w:sz w:val="20"/>
              </w:rPr>
              <w:t xml:space="preserve">0,083</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 руб./га</w:t>
            </w:r>
          </w:p>
        </w:tc>
        <w:tc>
          <w:tcPr>
            <w:tcW w:w="1144" w:type="dxa"/>
            <w:vAlign w:val="center"/>
          </w:tcPr>
          <w:p>
            <w:pPr>
              <w:pStyle w:val="0"/>
              <w:jc w:val="center"/>
            </w:pPr>
            <w:r>
              <w:rPr>
                <w:sz w:val="20"/>
              </w:rPr>
              <w:t xml:space="preserve">31,7</w:t>
            </w:r>
          </w:p>
        </w:tc>
        <w:tc>
          <w:tcPr>
            <w:tcW w:w="1024" w:type="dxa"/>
            <w:vAlign w:val="center"/>
          </w:tcPr>
          <w:p>
            <w:pPr>
              <w:pStyle w:val="0"/>
              <w:jc w:val="center"/>
            </w:pPr>
            <w:r>
              <w:rPr>
                <w:sz w:val="20"/>
              </w:rPr>
              <w:t xml:space="preserve">31,9</w:t>
            </w:r>
          </w:p>
        </w:tc>
        <w:tc>
          <w:tcPr>
            <w:tcW w:w="1024" w:type="dxa"/>
            <w:vAlign w:val="center"/>
          </w:tcPr>
          <w:p>
            <w:pPr>
              <w:pStyle w:val="0"/>
              <w:jc w:val="center"/>
            </w:pPr>
            <w:r>
              <w:rPr>
                <w:sz w:val="20"/>
              </w:rPr>
              <w:t xml:space="preserve">32,3</w:t>
            </w:r>
          </w:p>
        </w:tc>
        <w:tc>
          <w:tcPr>
            <w:tcW w:w="844" w:type="dxa"/>
            <w:vAlign w:val="center"/>
          </w:tcPr>
          <w:p>
            <w:pPr>
              <w:pStyle w:val="0"/>
              <w:jc w:val="center"/>
            </w:pPr>
            <w:r>
              <w:rPr>
                <w:sz w:val="20"/>
              </w:rPr>
              <w:t xml:space="preserve">42,1</w:t>
            </w:r>
          </w:p>
        </w:tc>
        <w:tc>
          <w:tcPr>
            <w:tcW w:w="844" w:type="dxa"/>
            <w:vAlign w:val="center"/>
          </w:tcPr>
          <w:p>
            <w:pPr>
              <w:pStyle w:val="0"/>
              <w:jc w:val="center"/>
            </w:pPr>
            <w:r>
              <w:rPr>
                <w:sz w:val="20"/>
              </w:rPr>
              <w:t xml:space="preserve">58,9</w:t>
            </w:r>
          </w:p>
        </w:tc>
        <w:tc>
          <w:tcPr>
            <w:tcW w:w="844" w:type="dxa"/>
            <w:vAlign w:val="center"/>
          </w:tcPr>
          <w:p>
            <w:pPr>
              <w:pStyle w:val="0"/>
              <w:jc w:val="center"/>
            </w:pPr>
            <w:r>
              <w:rPr>
                <w:sz w:val="20"/>
              </w:rPr>
              <w:t xml:space="preserve">64,3</w:t>
            </w:r>
          </w:p>
        </w:tc>
        <w:tc>
          <w:tcPr>
            <w:tcW w:w="844" w:type="dxa"/>
            <w:vAlign w:val="center"/>
          </w:tcPr>
          <w:p>
            <w:pPr>
              <w:pStyle w:val="0"/>
              <w:jc w:val="center"/>
            </w:pPr>
            <w:r>
              <w:rPr>
                <w:sz w:val="20"/>
              </w:rPr>
              <w:t xml:space="preserve">72,6</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Лесистость на территории Белгородской области, процентов</w:t>
            </w:r>
          </w:p>
        </w:tc>
        <w:tc>
          <w:tcPr>
            <w:tcW w:w="1144" w:type="dxa"/>
            <w:vAlign w:val="center"/>
          </w:tcPr>
          <w:p>
            <w:pPr>
              <w:pStyle w:val="0"/>
              <w:jc w:val="center"/>
            </w:pPr>
            <w:r>
              <w:rPr>
                <w:sz w:val="20"/>
              </w:rPr>
              <w:t xml:space="preserve">8,6</w:t>
            </w:r>
          </w:p>
        </w:tc>
        <w:tc>
          <w:tcPr>
            <w:tcW w:w="1024" w:type="dxa"/>
            <w:vAlign w:val="center"/>
          </w:tcPr>
          <w:p>
            <w:pPr>
              <w:pStyle w:val="0"/>
              <w:jc w:val="center"/>
            </w:pPr>
            <w:r>
              <w:rPr>
                <w:sz w:val="20"/>
              </w:rPr>
              <w:t xml:space="preserve">8,6</w:t>
            </w:r>
          </w:p>
        </w:tc>
        <w:tc>
          <w:tcPr>
            <w:tcW w:w="1024" w:type="dxa"/>
            <w:vAlign w:val="center"/>
          </w:tcPr>
          <w:p>
            <w:pPr>
              <w:pStyle w:val="0"/>
              <w:jc w:val="center"/>
            </w:pPr>
            <w:r>
              <w:rPr>
                <w:sz w:val="20"/>
              </w:rPr>
              <w:t xml:space="preserve">8,6</w:t>
            </w:r>
          </w:p>
        </w:tc>
        <w:tc>
          <w:tcPr>
            <w:tcW w:w="844" w:type="dxa"/>
            <w:vAlign w:val="center"/>
          </w:tcPr>
          <w:p>
            <w:pPr>
              <w:pStyle w:val="0"/>
              <w:jc w:val="center"/>
            </w:pPr>
            <w:r>
              <w:rPr>
                <w:sz w:val="20"/>
              </w:rPr>
              <w:t xml:space="preserve">8,6</w:t>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t xml:space="preserve">8,7</w:t>
            </w:r>
          </w:p>
        </w:tc>
      </w:tr>
      <w:tr>
        <w:tc>
          <w:tcPr>
            <w:tcW w:w="544" w:type="dxa"/>
            <w:vAlign w:val="center"/>
            <w:vMerge w:val="restart"/>
          </w:tcPr>
          <w:p>
            <w:pPr>
              <w:pStyle w:val="0"/>
              <w:jc w:val="center"/>
            </w:pPr>
            <w:r>
              <w:rPr>
                <w:sz w:val="20"/>
              </w:rPr>
              <w:t xml:space="preserve">2.1</w:t>
            </w:r>
          </w:p>
        </w:tc>
        <w:tc>
          <w:tcPr>
            <w:tcW w:w="2359" w:type="dxa"/>
            <w:vAlign w:val="center"/>
            <w:vMerge w:val="restart"/>
          </w:tcPr>
          <w:p>
            <w:pPr>
              <w:pStyle w:val="0"/>
              <w:jc w:val="center"/>
            </w:pPr>
            <w:r>
              <w:rPr>
                <w:sz w:val="20"/>
              </w:rPr>
              <w:t xml:space="preserve">Основное мероприятие 1.1 "Обеспечение функций органов власти Белгородской области, в том числе территориальных органов"</w:t>
            </w:r>
          </w:p>
        </w:tc>
        <w:tc>
          <w:tcPr>
            <w:tcW w:w="2749" w:type="dxa"/>
            <w:vAlign w:val="center"/>
            <w:vMerge w:val="restart"/>
          </w:tcPr>
          <w:p>
            <w:pPr>
              <w:pStyle w:val="0"/>
              <w:jc w:val="center"/>
            </w:pPr>
            <w:r>
              <w:rPr>
                <w:sz w:val="20"/>
              </w:rPr>
              <w:t xml:space="preserve">Управление лесами Белгородской области</w:t>
            </w:r>
          </w:p>
        </w:tc>
        <w:tc>
          <w:tcPr>
            <w:tcW w:w="1384" w:type="dxa"/>
            <w:vAlign w:val="center"/>
            <w:vMerge w:val="restart"/>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1.1.1. Отношение суммы возмещенного ущерба от нарушений лесного законодательства к сумме нанесенного ущерба от нарушений лесного законодательства, процентов</w:t>
            </w:r>
          </w:p>
        </w:tc>
        <w:tc>
          <w:tcPr>
            <w:tcW w:w="1144" w:type="dxa"/>
            <w:vAlign w:val="center"/>
          </w:tcPr>
          <w:p>
            <w:pPr>
              <w:pStyle w:val="0"/>
              <w:jc w:val="center"/>
            </w:pPr>
            <w:r>
              <w:rPr>
                <w:sz w:val="20"/>
              </w:rPr>
              <w:t xml:space="preserve">88,2</w:t>
            </w:r>
          </w:p>
        </w:tc>
        <w:tc>
          <w:tcPr>
            <w:tcW w:w="1024" w:type="dxa"/>
            <w:vAlign w:val="center"/>
          </w:tcPr>
          <w:p>
            <w:pPr>
              <w:pStyle w:val="0"/>
              <w:jc w:val="center"/>
            </w:pPr>
            <w:r>
              <w:rPr>
                <w:sz w:val="20"/>
              </w:rPr>
              <w:t xml:space="preserve">89,1</w:t>
            </w:r>
          </w:p>
        </w:tc>
        <w:tc>
          <w:tcPr>
            <w:tcW w:w="1024" w:type="dxa"/>
            <w:vAlign w:val="center"/>
          </w:tcPr>
          <w:p>
            <w:pPr>
              <w:pStyle w:val="0"/>
              <w:jc w:val="center"/>
            </w:pPr>
            <w:r>
              <w:rPr>
                <w:sz w:val="20"/>
              </w:rPr>
              <w:t xml:space="preserve">90,2</w:t>
            </w:r>
          </w:p>
        </w:tc>
        <w:tc>
          <w:tcPr>
            <w:tcW w:w="844" w:type="dxa"/>
            <w:vAlign w:val="center"/>
          </w:tcPr>
          <w:p>
            <w:pPr>
              <w:pStyle w:val="0"/>
              <w:jc w:val="center"/>
            </w:pPr>
            <w:r>
              <w:rPr>
                <w:sz w:val="20"/>
              </w:rPr>
              <w:t xml:space="preserve">90,3</w:t>
            </w:r>
          </w:p>
        </w:tc>
        <w:tc>
          <w:tcPr>
            <w:tcW w:w="844" w:type="dxa"/>
            <w:vAlign w:val="center"/>
          </w:tcPr>
          <w:p>
            <w:pPr>
              <w:pStyle w:val="0"/>
              <w:jc w:val="center"/>
            </w:pPr>
            <w:r>
              <w:rPr>
                <w:sz w:val="20"/>
              </w:rPr>
              <w:t xml:space="preserve">92,3</w:t>
            </w:r>
          </w:p>
        </w:tc>
        <w:tc>
          <w:tcPr>
            <w:tcW w:w="844" w:type="dxa"/>
            <w:vAlign w:val="center"/>
          </w:tcPr>
          <w:p>
            <w:pPr>
              <w:pStyle w:val="0"/>
              <w:jc w:val="center"/>
            </w:pPr>
            <w:r>
              <w:rPr>
                <w:sz w:val="20"/>
              </w:rPr>
              <w:t xml:space="preserve">92,3</w:t>
            </w:r>
          </w:p>
        </w:tc>
        <w:tc>
          <w:tcPr>
            <w:tcW w:w="844" w:type="dxa"/>
            <w:vAlign w:val="center"/>
          </w:tcPr>
          <w:p>
            <w:pPr>
              <w:pStyle w:val="0"/>
              <w:jc w:val="center"/>
            </w:pPr>
            <w:r>
              <w:rPr>
                <w:sz w:val="20"/>
              </w:rPr>
              <w:t xml:space="preserve">92,3</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1.1.2. Отношение количества случаев с установленными нарушителями лесного законодательства к общему количеству зарегистрированных случаев нарушений лесного законодательства, процентов</w:t>
            </w:r>
          </w:p>
        </w:tc>
        <w:tc>
          <w:tcPr>
            <w:tcW w:w="1144" w:type="dxa"/>
            <w:vAlign w:val="center"/>
          </w:tcPr>
          <w:p>
            <w:pPr>
              <w:pStyle w:val="0"/>
              <w:jc w:val="center"/>
            </w:pPr>
            <w:r>
              <w:rPr>
                <w:sz w:val="20"/>
              </w:rPr>
              <w:t xml:space="preserve">99,6</w:t>
            </w:r>
          </w:p>
        </w:tc>
        <w:tc>
          <w:tcPr>
            <w:tcW w:w="1024" w:type="dxa"/>
            <w:vAlign w:val="center"/>
          </w:tcPr>
          <w:p>
            <w:pPr>
              <w:pStyle w:val="0"/>
              <w:jc w:val="center"/>
            </w:pPr>
            <w:r>
              <w:rPr>
                <w:sz w:val="20"/>
              </w:rPr>
              <w:t xml:space="preserve">99,8</w:t>
            </w:r>
          </w:p>
        </w:tc>
        <w:tc>
          <w:tcPr>
            <w:tcW w:w="1024" w:type="dxa"/>
            <w:vAlign w:val="center"/>
          </w:tcPr>
          <w:p>
            <w:pPr>
              <w:pStyle w:val="0"/>
              <w:jc w:val="center"/>
            </w:pPr>
            <w:r>
              <w:rPr>
                <w:sz w:val="20"/>
              </w:rPr>
              <w:t xml:space="preserve">99</w:t>
            </w:r>
          </w:p>
        </w:tc>
        <w:tc>
          <w:tcPr>
            <w:tcW w:w="844" w:type="dxa"/>
            <w:vAlign w:val="center"/>
          </w:tcPr>
          <w:p>
            <w:pPr>
              <w:pStyle w:val="0"/>
              <w:jc w:val="center"/>
            </w:pPr>
            <w:r>
              <w:rPr>
                <w:sz w:val="20"/>
              </w:rPr>
              <w:t xml:space="preserve">99</w:t>
            </w:r>
          </w:p>
        </w:tc>
        <w:tc>
          <w:tcPr>
            <w:tcW w:w="844" w:type="dxa"/>
            <w:vAlign w:val="center"/>
          </w:tcPr>
          <w:p>
            <w:pPr>
              <w:pStyle w:val="0"/>
              <w:jc w:val="center"/>
            </w:pPr>
            <w:r>
              <w:rPr>
                <w:sz w:val="20"/>
              </w:rPr>
              <w:t xml:space="preserve">99</w:t>
            </w:r>
          </w:p>
        </w:tc>
        <w:tc>
          <w:tcPr>
            <w:tcW w:w="844" w:type="dxa"/>
            <w:vAlign w:val="center"/>
          </w:tcPr>
          <w:p>
            <w:pPr>
              <w:pStyle w:val="0"/>
              <w:jc w:val="center"/>
            </w:pPr>
            <w:r>
              <w:rPr>
                <w:sz w:val="20"/>
              </w:rPr>
              <w:t xml:space="preserve">99</w:t>
            </w:r>
          </w:p>
        </w:tc>
        <w:tc>
          <w:tcPr>
            <w:tcW w:w="844" w:type="dxa"/>
            <w:vAlign w:val="center"/>
          </w:tcPr>
          <w:p>
            <w:pPr>
              <w:pStyle w:val="0"/>
              <w:jc w:val="center"/>
            </w:pPr>
            <w:r>
              <w:rPr>
                <w:sz w:val="20"/>
              </w:rPr>
              <w:t xml:space="preserve">99</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1.1.3. Доля площади ценных лесных насаждений в составе покрытых лесной растительностью земель лесного фонда, процентов</w:t>
            </w:r>
          </w:p>
        </w:tc>
        <w:tc>
          <w:tcPr>
            <w:tcW w:w="1144" w:type="dxa"/>
            <w:vAlign w:val="center"/>
          </w:tcPr>
          <w:p>
            <w:pPr>
              <w:pStyle w:val="0"/>
              <w:jc w:val="center"/>
            </w:pPr>
            <w:r>
              <w:rPr>
                <w:sz w:val="20"/>
              </w:rPr>
              <w:t xml:space="preserve">81,7</w:t>
            </w:r>
          </w:p>
        </w:tc>
        <w:tc>
          <w:tcPr>
            <w:tcW w:w="1024" w:type="dxa"/>
            <w:vAlign w:val="center"/>
          </w:tcPr>
          <w:p>
            <w:pPr>
              <w:pStyle w:val="0"/>
              <w:jc w:val="center"/>
            </w:pPr>
            <w:r>
              <w:rPr>
                <w:sz w:val="20"/>
              </w:rPr>
              <w:t xml:space="preserve">81,7</w:t>
            </w:r>
          </w:p>
        </w:tc>
        <w:tc>
          <w:tcPr>
            <w:tcW w:w="1024" w:type="dxa"/>
            <w:vAlign w:val="center"/>
          </w:tcPr>
          <w:p>
            <w:pPr>
              <w:pStyle w:val="0"/>
              <w:jc w:val="center"/>
            </w:pPr>
            <w:r>
              <w:rPr>
                <w:sz w:val="20"/>
              </w:rPr>
              <w:t xml:space="preserve">81,7</w:t>
            </w:r>
          </w:p>
        </w:tc>
        <w:tc>
          <w:tcPr>
            <w:tcW w:w="844" w:type="dxa"/>
            <w:vAlign w:val="center"/>
          </w:tcPr>
          <w:p>
            <w:pPr>
              <w:pStyle w:val="0"/>
              <w:jc w:val="center"/>
            </w:pPr>
            <w:r>
              <w:rPr>
                <w:sz w:val="20"/>
              </w:rPr>
              <w:t xml:space="preserve">92,2</w:t>
            </w:r>
          </w:p>
        </w:tc>
        <w:tc>
          <w:tcPr>
            <w:tcW w:w="844" w:type="dxa"/>
            <w:vAlign w:val="center"/>
          </w:tcPr>
          <w:p>
            <w:pPr>
              <w:pStyle w:val="0"/>
              <w:jc w:val="center"/>
            </w:pPr>
            <w:r>
              <w:rPr>
                <w:sz w:val="20"/>
              </w:rPr>
              <w:t xml:space="preserve">92,2</w:t>
            </w:r>
          </w:p>
        </w:tc>
        <w:tc>
          <w:tcPr>
            <w:tcW w:w="844" w:type="dxa"/>
            <w:vAlign w:val="center"/>
          </w:tcPr>
          <w:p>
            <w:pPr>
              <w:pStyle w:val="0"/>
              <w:jc w:val="center"/>
            </w:pPr>
            <w:r>
              <w:rPr>
                <w:sz w:val="20"/>
              </w:rPr>
              <w:t xml:space="preserve">92,2</w:t>
            </w:r>
          </w:p>
        </w:tc>
        <w:tc>
          <w:tcPr>
            <w:tcW w:w="844" w:type="dxa"/>
            <w:vAlign w:val="center"/>
          </w:tcPr>
          <w:p>
            <w:pPr>
              <w:pStyle w:val="0"/>
              <w:jc w:val="center"/>
            </w:pPr>
            <w:r>
              <w:rPr>
                <w:sz w:val="20"/>
              </w:rPr>
              <w:t xml:space="preserve">92,4</w:t>
            </w:r>
          </w:p>
        </w:tc>
      </w:tr>
      <w:tr>
        <w:tc>
          <w:tcPr>
            <w:tcW w:w="544" w:type="dxa"/>
            <w:vAlign w:val="center"/>
            <w:vMerge w:val="restart"/>
          </w:tcPr>
          <w:p>
            <w:pPr>
              <w:pStyle w:val="0"/>
              <w:jc w:val="center"/>
            </w:pPr>
            <w:r>
              <w:rPr>
                <w:sz w:val="20"/>
              </w:rPr>
              <w:t xml:space="preserve">2.2</w:t>
            </w:r>
          </w:p>
        </w:tc>
        <w:tc>
          <w:tcPr>
            <w:tcW w:w="2359" w:type="dxa"/>
            <w:vAlign w:val="center"/>
            <w:vMerge w:val="restart"/>
          </w:tcPr>
          <w:p>
            <w:pPr>
              <w:pStyle w:val="0"/>
              <w:jc w:val="center"/>
            </w:pPr>
            <w:r>
              <w:rPr>
                <w:sz w:val="20"/>
              </w:rPr>
              <w:t xml:space="preserve">Основное мероприятие 1.2 "Обеспечение деятельности (оказание услуг) государственных учреждений (организаций)"</w:t>
            </w:r>
          </w:p>
        </w:tc>
        <w:tc>
          <w:tcPr>
            <w:tcW w:w="2749" w:type="dxa"/>
            <w:vAlign w:val="center"/>
            <w:vMerge w:val="restart"/>
          </w:tcPr>
          <w:p>
            <w:pPr>
              <w:pStyle w:val="0"/>
              <w:jc w:val="center"/>
            </w:pPr>
            <w:r>
              <w:rPr>
                <w:sz w:val="20"/>
              </w:rPr>
              <w:t xml:space="preserve">Управление лесами Белгородской области</w:t>
            </w:r>
          </w:p>
        </w:tc>
        <w:tc>
          <w:tcPr>
            <w:tcW w:w="1384" w:type="dxa"/>
            <w:vAlign w:val="center"/>
            <w:vMerge w:val="restart"/>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1.2.1. Удельный вес пожаров, ликвидированных в течение первых суток (по числу случаев), процентов</w:t>
            </w:r>
          </w:p>
        </w:tc>
        <w:tc>
          <w:tcPr>
            <w:tcW w:w="1144" w:type="dxa"/>
            <w:vAlign w:val="center"/>
          </w:tcPr>
          <w:p>
            <w:pPr>
              <w:pStyle w:val="0"/>
              <w:jc w:val="center"/>
            </w:pPr>
            <w:r>
              <w:rPr>
                <w:sz w:val="20"/>
              </w:rPr>
              <w:t xml:space="preserve">95,7</w:t>
            </w:r>
          </w:p>
        </w:tc>
        <w:tc>
          <w:tcPr>
            <w:tcW w:w="1024" w:type="dxa"/>
            <w:vAlign w:val="center"/>
          </w:tcPr>
          <w:p>
            <w:pPr>
              <w:pStyle w:val="0"/>
              <w:jc w:val="center"/>
            </w:pPr>
            <w:r>
              <w:rPr>
                <w:sz w:val="20"/>
              </w:rPr>
              <w:t xml:space="preserve">95,7</w:t>
            </w:r>
          </w:p>
        </w:tc>
        <w:tc>
          <w:tcPr>
            <w:tcW w:w="1024" w:type="dxa"/>
            <w:vAlign w:val="center"/>
          </w:tcPr>
          <w:p>
            <w:pPr>
              <w:pStyle w:val="0"/>
              <w:jc w:val="center"/>
            </w:pPr>
            <w:r>
              <w:rPr>
                <w:sz w:val="20"/>
              </w:rPr>
              <w:t xml:space="preserve">95,7</w:t>
            </w:r>
          </w:p>
        </w:tc>
        <w:tc>
          <w:tcPr>
            <w:tcW w:w="844" w:type="dxa"/>
            <w:vAlign w:val="center"/>
          </w:tcPr>
          <w:p>
            <w:pPr>
              <w:pStyle w:val="0"/>
              <w:jc w:val="center"/>
            </w:pPr>
            <w:r>
              <w:rPr>
                <w:sz w:val="20"/>
              </w:rPr>
              <w:t xml:space="preserve">95,7</w:t>
            </w:r>
          </w:p>
        </w:tc>
        <w:tc>
          <w:tcPr>
            <w:tcW w:w="844" w:type="dxa"/>
            <w:vAlign w:val="center"/>
          </w:tcPr>
          <w:p>
            <w:pPr>
              <w:pStyle w:val="0"/>
              <w:jc w:val="center"/>
            </w:pPr>
            <w:r>
              <w:rPr>
                <w:sz w:val="20"/>
              </w:rPr>
              <w:t xml:space="preserve">86,13</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1.2.2. Отношение площади искусственного лесовосстановления к площади выбытия лесов в результате сплошных срубок и гибели лесов, процентов</w:t>
            </w:r>
          </w:p>
        </w:tc>
        <w:tc>
          <w:tcPr>
            <w:tcW w:w="1144" w:type="dxa"/>
            <w:vAlign w:val="center"/>
          </w:tcPr>
          <w:p>
            <w:pPr>
              <w:pStyle w:val="0"/>
              <w:jc w:val="center"/>
            </w:pPr>
            <w:r>
              <w:rPr>
                <w:sz w:val="20"/>
              </w:rPr>
              <w:t xml:space="preserve">98</w:t>
            </w:r>
          </w:p>
        </w:tc>
        <w:tc>
          <w:tcPr>
            <w:tcW w:w="1024" w:type="dxa"/>
            <w:vAlign w:val="center"/>
          </w:tcPr>
          <w:p>
            <w:pPr>
              <w:pStyle w:val="0"/>
              <w:jc w:val="center"/>
            </w:pPr>
            <w:r>
              <w:rPr>
                <w:sz w:val="20"/>
              </w:rPr>
              <w:t xml:space="preserve">98</w:t>
            </w:r>
          </w:p>
        </w:tc>
        <w:tc>
          <w:tcPr>
            <w:tcW w:w="1024" w:type="dxa"/>
            <w:vAlign w:val="center"/>
          </w:tcPr>
          <w:p>
            <w:pPr>
              <w:pStyle w:val="0"/>
              <w:jc w:val="center"/>
            </w:pPr>
            <w:r>
              <w:rPr>
                <w:sz w:val="20"/>
              </w:rPr>
              <w:t xml:space="preserve">98</w:t>
            </w:r>
          </w:p>
        </w:tc>
        <w:tc>
          <w:tcPr>
            <w:tcW w:w="844" w:type="dxa"/>
            <w:vAlign w:val="center"/>
          </w:tcPr>
          <w:p>
            <w:pPr>
              <w:pStyle w:val="0"/>
              <w:jc w:val="center"/>
            </w:pPr>
            <w:r>
              <w:rPr>
                <w:sz w:val="20"/>
              </w:rPr>
              <w:t xml:space="preserve">86,13</w:t>
            </w:r>
          </w:p>
        </w:tc>
        <w:tc>
          <w:tcPr>
            <w:tcW w:w="844" w:type="dxa"/>
            <w:vAlign w:val="center"/>
          </w:tcPr>
          <w:p>
            <w:pPr>
              <w:pStyle w:val="0"/>
              <w:jc w:val="center"/>
            </w:pPr>
            <w:r>
              <w:rPr>
                <w:sz w:val="20"/>
              </w:rPr>
              <w:t xml:space="preserve">86,13</w:t>
            </w:r>
          </w:p>
        </w:tc>
        <w:tc>
          <w:tcPr>
            <w:tcW w:w="844" w:type="dxa"/>
            <w:vAlign w:val="center"/>
          </w:tcPr>
          <w:p>
            <w:pPr>
              <w:pStyle w:val="0"/>
              <w:jc w:val="center"/>
            </w:pPr>
            <w:r>
              <w:rPr>
                <w:sz w:val="20"/>
              </w:rPr>
              <w:t xml:space="preserve">86,13</w:t>
            </w:r>
          </w:p>
        </w:tc>
        <w:tc>
          <w:tcPr>
            <w:tcW w:w="844" w:type="dxa"/>
            <w:vAlign w:val="center"/>
          </w:tcPr>
          <w:p>
            <w:pPr>
              <w:pStyle w:val="0"/>
              <w:jc w:val="center"/>
            </w:pPr>
            <w:r>
              <w:rPr>
                <w:sz w:val="20"/>
              </w:rPr>
              <w:t xml:space="preserve">86,13</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2014 - 2017</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1.2.3. Охват территории проведения мероприятий по противопожарной пропаганде, га</w:t>
            </w:r>
          </w:p>
        </w:tc>
        <w:tc>
          <w:tcPr>
            <w:tcW w:w="1144" w:type="dxa"/>
            <w:vAlign w:val="center"/>
          </w:tcPr>
          <w:p>
            <w:pPr>
              <w:pStyle w:val="0"/>
              <w:jc w:val="center"/>
            </w:pPr>
            <w:r>
              <w:rPr>
                <w:sz w:val="20"/>
              </w:rPr>
              <w:t xml:space="preserve">175882,11</w:t>
            </w:r>
          </w:p>
        </w:tc>
        <w:tc>
          <w:tcPr>
            <w:tcW w:w="1024" w:type="dxa"/>
            <w:vAlign w:val="center"/>
          </w:tcPr>
          <w:p>
            <w:pPr>
              <w:pStyle w:val="0"/>
              <w:jc w:val="center"/>
            </w:pPr>
            <w:r>
              <w:rPr>
                <w:sz w:val="20"/>
              </w:rPr>
              <w:t xml:space="preserve">175511</w:t>
            </w:r>
          </w:p>
        </w:tc>
        <w:tc>
          <w:tcPr>
            <w:tcW w:w="1024" w:type="dxa"/>
            <w:vAlign w:val="center"/>
          </w:tcPr>
          <w:p>
            <w:pPr>
              <w:pStyle w:val="0"/>
              <w:jc w:val="center"/>
            </w:pPr>
            <w:r>
              <w:rPr>
                <w:sz w:val="20"/>
              </w:rPr>
              <w:t xml:space="preserve">175096</w:t>
            </w:r>
          </w:p>
        </w:tc>
        <w:tc>
          <w:tcPr>
            <w:tcW w:w="844" w:type="dxa"/>
            <w:vAlign w:val="center"/>
          </w:tcPr>
          <w:p>
            <w:pPr>
              <w:pStyle w:val="0"/>
              <w:jc w:val="center"/>
            </w:pPr>
            <w:r>
              <w:rPr>
                <w:sz w:val="20"/>
              </w:rPr>
              <w:t xml:space="preserve">230399</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2.3</w:t>
            </w:r>
          </w:p>
        </w:tc>
        <w:tc>
          <w:tcPr>
            <w:tcW w:w="2359" w:type="dxa"/>
            <w:vAlign w:val="center"/>
            <w:vMerge w:val="restart"/>
          </w:tcPr>
          <w:p>
            <w:pPr>
              <w:pStyle w:val="0"/>
              <w:jc w:val="center"/>
            </w:pPr>
            <w:r>
              <w:rPr>
                <w:sz w:val="20"/>
              </w:rPr>
              <w:t xml:space="preserve">Основное мероприятие 1.3 "Осуществление органами государственной власти Российской Федерации отдельных полномочий в области лесных отношений"</w:t>
            </w:r>
          </w:p>
        </w:tc>
        <w:tc>
          <w:tcPr>
            <w:tcW w:w="2749" w:type="dxa"/>
            <w:vAlign w:val="center"/>
            <w:vMerge w:val="restart"/>
          </w:tcPr>
          <w:p>
            <w:pPr>
              <w:pStyle w:val="0"/>
              <w:jc w:val="center"/>
            </w:pPr>
            <w:r>
              <w:rPr>
                <w:sz w:val="20"/>
              </w:rPr>
              <w:t xml:space="preserve">Управление лесами Белгородской области</w:t>
            </w:r>
          </w:p>
        </w:tc>
        <w:tc>
          <w:tcPr>
            <w:tcW w:w="1384" w:type="dxa"/>
            <w:vAlign w:val="center"/>
          </w:tcPr>
          <w:p>
            <w:pPr>
              <w:pStyle w:val="0"/>
              <w:jc w:val="center"/>
            </w:pPr>
            <w:r>
              <w:rPr>
                <w:sz w:val="20"/>
              </w:rPr>
              <w:t xml:space="preserve">2014 - 2024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 Доля площади земель лесного фонда, переданных в пользование, в общей площади земель лесного фонда, процентов</w:t>
            </w:r>
          </w:p>
        </w:tc>
        <w:tc>
          <w:tcPr>
            <w:tcW w:w="1144" w:type="dxa"/>
            <w:vAlign w:val="center"/>
          </w:tcPr>
          <w:p>
            <w:pPr>
              <w:pStyle w:val="0"/>
              <w:jc w:val="center"/>
            </w:pPr>
            <w:r>
              <w:rPr>
                <w:sz w:val="20"/>
              </w:rPr>
              <w:t xml:space="preserve">27,9</w:t>
            </w:r>
          </w:p>
        </w:tc>
        <w:tc>
          <w:tcPr>
            <w:tcW w:w="1024" w:type="dxa"/>
            <w:vAlign w:val="center"/>
          </w:tcPr>
          <w:p>
            <w:pPr>
              <w:pStyle w:val="0"/>
              <w:jc w:val="center"/>
            </w:pPr>
            <w:r>
              <w:rPr>
                <w:sz w:val="20"/>
              </w:rPr>
              <w:t xml:space="preserve">29,5</w:t>
            </w:r>
          </w:p>
        </w:tc>
        <w:tc>
          <w:tcPr>
            <w:tcW w:w="1024" w:type="dxa"/>
            <w:vAlign w:val="center"/>
          </w:tcPr>
          <w:p>
            <w:pPr>
              <w:pStyle w:val="0"/>
              <w:jc w:val="center"/>
            </w:pPr>
            <w:r>
              <w:rPr>
                <w:sz w:val="20"/>
              </w:rPr>
              <w:t xml:space="preserve">29,4</w:t>
            </w:r>
          </w:p>
        </w:tc>
        <w:tc>
          <w:tcPr>
            <w:tcW w:w="844" w:type="dxa"/>
            <w:vAlign w:val="center"/>
          </w:tcPr>
          <w:p>
            <w:pPr>
              <w:pStyle w:val="0"/>
              <w:jc w:val="center"/>
            </w:pPr>
            <w:r>
              <w:rPr>
                <w:sz w:val="20"/>
              </w:rPr>
              <w:t xml:space="preserve">29,4</w:t>
            </w:r>
          </w:p>
        </w:tc>
        <w:tc>
          <w:tcPr>
            <w:tcW w:w="844" w:type="dxa"/>
            <w:vAlign w:val="center"/>
          </w:tcPr>
          <w:p>
            <w:pPr>
              <w:pStyle w:val="0"/>
              <w:jc w:val="center"/>
            </w:pPr>
            <w:r>
              <w:rPr>
                <w:sz w:val="20"/>
              </w:rPr>
              <w:t xml:space="preserve">28,6</w:t>
            </w:r>
          </w:p>
        </w:tc>
        <w:tc>
          <w:tcPr>
            <w:tcW w:w="844" w:type="dxa"/>
            <w:vAlign w:val="center"/>
          </w:tcPr>
          <w:p>
            <w:pPr>
              <w:pStyle w:val="0"/>
              <w:jc w:val="center"/>
            </w:pPr>
            <w:r>
              <w:rPr>
                <w:sz w:val="20"/>
              </w:rPr>
              <w:t xml:space="preserve">28,6</w:t>
            </w:r>
          </w:p>
        </w:tc>
        <w:tc>
          <w:tcPr>
            <w:tcW w:w="844" w:type="dxa"/>
            <w:vAlign w:val="center"/>
          </w:tcPr>
          <w:p>
            <w:pPr>
              <w:pStyle w:val="0"/>
              <w:jc w:val="center"/>
            </w:pPr>
            <w:r>
              <w:rPr>
                <w:sz w:val="20"/>
              </w:rPr>
              <w:t xml:space="preserve">28,6</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2014 - 2019</w:t>
            </w: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Показатель 1.3.2. Доля крупных лесных пожаров в общем количестве возникших лесных пожаров, процентов</w:t>
            </w:r>
          </w:p>
        </w:tc>
        <w:tc>
          <w:tcPr>
            <w:tcW w:w="1144" w:type="dxa"/>
            <w:vAlign w:val="center"/>
          </w:tcPr>
          <w:p>
            <w:pPr>
              <w:pStyle w:val="0"/>
              <w:jc w:val="center"/>
            </w:pPr>
            <w:r>
              <w:rPr>
                <w:sz w:val="20"/>
              </w:rPr>
              <w:t xml:space="preserve">0,8</w:t>
            </w:r>
          </w:p>
        </w:tc>
        <w:tc>
          <w:tcPr>
            <w:tcW w:w="1024" w:type="dxa"/>
            <w:vAlign w:val="center"/>
          </w:tcPr>
          <w:p>
            <w:pPr>
              <w:pStyle w:val="0"/>
              <w:jc w:val="center"/>
            </w:pPr>
            <w:r>
              <w:rPr>
                <w:sz w:val="20"/>
              </w:rPr>
              <w:t xml:space="preserve">0,8</w:t>
            </w:r>
          </w:p>
        </w:tc>
        <w:tc>
          <w:tcPr>
            <w:tcW w:w="1024" w:type="dxa"/>
            <w:vAlign w:val="center"/>
          </w:tcPr>
          <w:p>
            <w:pPr>
              <w:pStyle w:val="0"/>
              <w:jc w:val="center"/>
            </w:pPr>
            <w:r>
              <w:rPr>
                <w:sz w:val="20"/>
              </w:rPr>
              <w:t xml:space="preserve">0,8</w:t>
            </w:r>
          </w:p>
        </w:tc>
        <w:tc>
          <w:tcPr>
            <w:tcW w:w="844" w:type="dxa"/>
            <w:vAlign w:val="center"/>
          </w:tcPr>
          <w:p>
            <w:pPr>
              <w:pStyle w:val="0"/>
              <w:jc w:val="center"/>
            </w:pPr>
            <w:r>
              <w:rPr>
                <w:sz w:val="20"/>
              </w:rPr>
              <w:t xml:space="preserve">0,88</w:t>
            </w:r>
          </w:p>
        </w:tc>
        <w:tc>
          <w:tcPr>
            <w:tcW w:w="844" w:type="dxa"/>
            <w:vAlign w:val="center"/>
          </w:tcPr>
          <w:p>
            <w:pPr>
              <w:pStyle w:val="0"/>
              <w:jc w:val="center"/>
            </w:pPr>
            <w:r>
              <w:rPr>
                <w:sz w:val="20"/>
              </w:rPr>
              <w:t xml:space="preserve">0,88</w:t>
            </w:r>
          </w:p>
        </w:tc>
        <w:tc>
          <w:tcPr>
            <w:tcW w:w="844" w:type="dxa"/>
            <w:vAlign w:val="center"/>
          </w:tcPr>
          <w:p>
            <w:pPr>
              <w:pStyle w:val="0"/>
              <w:jc w:val="center"/>
            </w:pPr>
            <w:r>
              <w:rPr>
                <w:sz w:val="20"/>
              </w:rPr>
              <w:t xml:space="preserve">0,88</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vMerge w:val="restart"/>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1.3.3. 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процентов</w:t>
            </w:r>
          </w:p>
        </w:tc>
        <w:tc>
          <w:tcPr>
            <w:tcW w:w="1144" w:type="dxa"/>
            <w:vAlign w:val="center"/>
          </w:tcPr>
          <w:p>
            <w:pPr>
              <w:pStyle w:val="0"/>
              <w:jc w:val="center"/>
            </w:pPr>
            <w:r>
              <w:rPr>
                <w:sz w:val="20"/>
              </w:rPr>
              <w:t xml:space="preserve">7,3</w:t>
            </w:r>
          </w:p>
        </w:tc>
        <w:tc>
          <w:tcPr>
            <w:tcW w:w="1024" w:type="dxa"/>
            <w:vAlign w:val="center"/>
          </w:tcPr>
          <w:p>
            <w:pPr>
              <w:pStyle w:val="0"/>
              <w:jc w:val="center"/>
            </w:pPr>
            <w:r>
              <w:rPr>
                <w:sz w:val="20"/>
              </w:rPr>
              <w:t xml:space="preserve">7,7</w:t>
            </w:r>
          </w:p>
        </w:tc>
        <w:tc>
          <w:tcPr>
            <w:tcW w:w="1024" w:type="dxa"/>
            <w:vAlign w:val="center"/>
          </w:tcPr>
          <w:p>
            <w:pPr>
              <w:pStyle w:val="0"/>
              <w:jc w:val="center"/>
            </w:pPr>
            <w:r>
              <w:rPr>
                <w:sz w:val="20"/>
              </w:rPr>
              <w:t xml:space="preserve">8,2</w:t>
            </w:r>
          </w:p>
        </w:tc>
        <w:tc>
          <w:tcPr>
            <w:tcW w:w="844" w:type="dxa"/>
            <w:vAlign w:val="center"/>
          </w:tcPr>
          <w:p>
            <w:pPr>
              <w:pStyle w:val="0"/>
              <w:jc w:val="center"/>
            </w:pPr>
            <w:r>
              <w:rPr>
                <w:sz w:val="20"/>
              </w:rPr>
              <w:t xml:space="preserve">6,7</w:t>
            </w:r>
          </w:p>
        </w:tc>
        <w:tc>
          <w:tcPr>
            <w:tcW w:w="844" w:type="dxa"/>
            <w:vAlign w:val="center"/>
          </w:tcPr>
          <w:p>
            <w:pPr>
              <w:pStyle w:val="0"/>
              <w:jc w:val="center"/>
            </w:pPr>
            <w:r>
              <w:rPr>
                <w:sz w:val="20"/>
              </w:rPr>
              <w:t xml:space="preserve">7,2</w:t>
            </w:r>
          </w:p>
        </w:tc>
        <w:tc>
          <w:tcPr>
            <w:tcW w:w="844" w:type="dxa"/>
            <w:vAlign w:val="center"/>
          </w:tcPr>
          <w:p>
            <w:pPr>
              <w:pStyle w:val="0"/>
              <w:jc w:val="center"/>
            </w:pPr>
            <w:r>
              <w:rPr>
                <w:sz w:val="20"/>
              </w:rPr>
              <w:t xml:space="preserve">8,1</w:t>
            </w:r>
          </w:p>
        </w:tc>
        <w:tc>
          <w:tcPr>
            <w:tcW w:w="844" w:type="dxa"/>
            <w:vAlign w:val="center"/>
          </w:tcPr>
          <w:p>
            <w:pPr>
              <w:pStyle w:val="0"/>
              <w:jc w:val="center"/>
            </w:pPr>
            <w:r>
              <w:rPr>
                <w:sz w:val="20"/>
              </w:rPr>
              <w:t xml:space="preserve">1,3</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1.3.4. Реконструкция лесных дорог, предназначенных для охраны лесов от пожаров, км</w:t>
            </w:r>
          </w:p>
        </w:tc>
        <w:tc>
          <w:tcPr>
            <w:tcW w:w="1144" w:type="dxa"/>
            <w:vAlign w:val="center"/>
          </w:tcPr>
          <w:p>
            <w:pPr>
              <w:pStyle w:val="0"/>
              <w:jc w:val="center"/>
            </w:pPr>
            <w:r>
              <w:rPr>
                <w:sz w:val="20"/>
              </w:rPr>
              <w:t xml:space="preserve">89,1</w:t>
            </w:r>
          </w:p>
        </w:tc>
        <w:tc>
          <w:tcPr>
            <w:tcW w:w="1024" w:type="dxa"/>
            <w:vAlign w:val="center"/>
          </w:tcPr>
          <w:p>
            <w:pPr>
              <w:pStyle w:val="0"/>
              <w:jc w:val="center"/>
            </w:pPr>
            <w:r>
              <w:rPr>
                <w:sz w:val="20"/>
              </w:rPr>
              <w:t xml:space="preserve">89,1</w:t>
            </w:r>
          </w:p>
        </w:tc>
        <w:tc>
          <w:tcPr>
            <w:tcW w:w="1024" w:type="dxa"/>
            <w:vAlign w:val="center"/>
          </w:tcPr>
          <w:p>
            <w:pPr>
              <w:pStyle w:val="0"/>
              <w:jc w:val="center"/>
            </w:pPr>
            <w:r>
              <w:rPr>
                <w:sz w:val="20"/>
              </w:rPr>
              <w:t xml:space="preserve">89,1</w:t>
            </w:r>
          </w:p>
        </w:tc>
        <w:tc>
          <w:tcPr>
            <w:tcW w:w="844" w:type="dxa"/>
            <w:vAlign w:val="center"/>
          </w:tcPr>
          <w:p>
            <w:pPr>
              <w:pStyle w:val="0"/>
              <w:jc w:val="center"/>
            </w:pPr>
            <w:r>
              <w:rPr>
                <w:sz w:val="20"/>
              </w:rPr>
              <w:t xml:space="preserve">108,2</w:t>
            </w:r>
          </w:p>
        </w:tc>
        <w:tc>
          <w:tcPr>
            <w:tcW w:w="844" w:type="dxa"/>
            <w:vAlign w:val="center"/>
          </w:tcPr>
          <w:p>
            <w:pPr>
              <w:pStyle w:val="0"/>
              <w:jc w:val="center"/>
            </w:pPr>
            <w:r>
              <w:rPr>
                <w:sz w:val="20"/>
              </w:rPr>
              <w:t xml:space="preserve">108,2</w:t>
            </w:r>
          </w:p>
        </w:tc>
        <w:tc>
          <w:tcPr>
            <w:tcW w:w="844" w:type="dxa"/>
            <w:vAlign w:val="center"/>
          </w:tcPr>
          <w:p>
            <w:pPr>
              <w:pStyle w:val="0"/>
              <w:jc w:val="center"/>
            </w:pPr>
            <w:r>
              <w:rPr>
                <w:sz w:val="20"/>
              </w:rPr>
              <w:t xml:space="preserve">108,2</w:t>
            </w:r>
          </w:p>
        </w:tc>
        <w:tc>
          <w:tcPr>
            <w:tcW w:w="844" w:type="dxa"/>
            <w:vAlign w:val="center"/>
          </w:tcPr>
          <w:p>
            <w:pPr>
              <w:pStyle w:val="0"/>
              <w:jc w:val="center"/>
            </w:pPr>
            <w:r>
              <w:rPr>
                <w:sz w:val="20"/>
              </w:rPr>
              <w:t xml:space="preserve">71,8</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1.3.5. Устройство минерализованных полос, км</w:t>
            </w:r>
          </w:p>
        </w:tc>
        <w:tc>
          <w:tcPr>
            <w:tcW w:w="1144" w:type="dxa"/>
            <w:vAlign w:val="center"/>
          </w:tcPr>
          <w:p>
            <w:pPr>
              <w:pStyle w:val="0"/>
              <w:jc w:val="center"/>
            </w:pPr>
            <w:r>
              <w:rPr>
                <w:sz w:val="20"/>
              </w:rPr>
              <w:t xml:space="preserve">144</w:t>
            </w:r>
          </w:p>
        </w:tc>
        <w:tc>
          <w:tcPr>
            <w:tcW w:w="1024" w:type="dxa"/>
            <w:vAlign w:val="center"/>
          </w:tcPr>
          <w:p>
            <w:pPr>
              <w:pStyle w:val="0"/>
              <w:jc w:val="center"/>
            </w:pPr>
            <w:r>
              <w:rPr>
                <w:sz w:val="20"/>
              </w:rPr>
              <w:t xml:space="preserve">146,1</w:t>
            </w:r>
          </w:p>
        </w:tc>
        <w:tc>
          <w:tcPr>
            <w:tcW w:w="1024" w:type="dxa"/>
            <w:vAlign w:val="center"/>
          </w:tcPr>
          <w:p>
            <w:pPr>
              <w:pStyle w:val="0"/>
              <w:jc w:val="center"/>
            </w:pPr>
            <w:r>
              <w:rPr>
                <w:sz w:val="20"/>
              </w:rPr>
              <w:t xml:space="preserve">146,1</w:t>
            </w:r>
          </w:p>
        </w:tc>
        <w:tc>
          <w:tcPr>
            <w:tcW w:w="844" w:type="dxa"/>
            <w:vAlign w:val="center"/>
          </w:tcPr>
          <w:p>
            <w:pPr>
              <w:pStyle w:val="0"/>
              <w:jc w:val="center"/>
            </w:pPr>
            <w:r>
              <w:rPr>
                <w:sz w:val="20"/>
              </w:rPr>
              <w:t xml:space="preserve">128</w:t>
            </w:r>
          </w:p>
        </w:tc>
        <w:tc>
          <w:tcPr>
            <w:tcW w:w="844" w:type="dxa"/>
            <w:vAlign w:val="center"/>
          </w:tcPr>
          <w:p>
            <w:pPr>
              <w:pStyle w:val="0"/>
              <w:jc w:val="center"/>
            </w:pPr>
            <w:r>
              <w:rPr>
                <w:sz w:val="20"/>
              </w:rPr>
              <w:t xml:space="preserve">128</w:t>
            </w:r>
          </w:p>
        </w:tc>
        <w:tc>
          <w:tcPr>
            <w:tcW w:w="844" w:type="dxa"/>
            <w:vAlign w:val="center"/>
          </w:tcPr>
          <w:p>
            <w:pPr>
              <w:pStyle w:val="0"/>
              <w:jc w:val="center"/>
            </w:pPr>
            <w:r>
              <w:rPr>
                <w:sz w:val="20"/>
              </w:rPr>
              <w:t xml:space="preserve">128</w:t>
            </w:r>
          </w:p>
        </w:tc>
        <w:tc>
          <w:tcPr>
            <w:tcW w:w="844" w:type="dxa"/>
            <w:vAlign w:val="center"/>
          </w:tcPr>
          <w:p>
            <w:pPr>
              <w:pStyle w:val="0"/>
              <w:jc w:val="center"/>
            </w:pPr>
            <w:r>
              <w:rPr>
                <w:sz w:val="20"/>
              </w:rPr>
              <w:t xml:space="preserve">94,8</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1.3.6. Устройство противопожарных разрывов, км</w:t>
            </w:r>
          </w:p>
        </w:tc>
        <w:tc>
          <w:tcPr>
            <w:tcW w:w="1144" w:type="dxa"/>
            <w:vAlign w:val="center"/>
          </w:tcPr>
          <w:p>
            <w:pPr>
              <w:pStyle w:val="0"/>
              <w:jc w:val="center"/>
            </w:pPr>
            <w:r>
              <w:rPr>
                <w:sz w:val="20"/>
              </w:rPr>
              <w:t xml:space="preserve">3,9</w:t>
            </w:r>
          </w:p>
        </w:tc>
        <w:tc>
          <w:tcPr>
            <w:tcW w:w="1024" w:type="dxa"/>
            <w:vAlign w:val="center"/>
          </w:tcPr>
          <w:p>
            <w:pPr>
              <w:pStyle w:val="0"/>
              <w:jc w:val="center"/>
            </w:pPr>
            <w:r>
              <w:rPr>
                <w:sz w:val="20"/>
              </w:rPr>
              <w:t xml:space="preserve">3,9</w:t>
            </w:r>
          </w:p>
        </w:tc>
        <w:tc>
          <w:tcPr>
            <w:tcW w:w="1024" w:type="dxa"/>
            <w:vAlign w:val="center"/>
          </w:tcPr>
          <w:p>
            <w:pPr>
              <w:pStyle w:val="0"/>
              <w:jc w:val="center"/>
            </w:pPr>
            <w:r>
              <w:rPr>
                <w:sz w:val="20"/>
              </w:rPr>
              <w:t xml:space="preserve">2</w:t>
            </w:r>
          </w:p>
        </w:tc>
        <w:tc>
          <w:tcPr>
            <w:tcW w:w="844" w:type="dxa"/>
            <w:vAlign w:val="center"/>
          </w:tcPr>
          <w:p>
            <w:pPr>
              <w:pStyle w:val="0"/>
              <w:jc w:val="center"/>
            </w:pPr>
            <w:r>
              <w:rPr>
                <w:sz w:val="20"/>
              </w:rPr>
              <w:t xml:space="preserve">1,44</w:t>
            </w:r>
          </w:p>
        </w:tc>
        <w:tc>
          <w:tcPr>
            <w:tcW w:w="844" w:type="dxa"/>
            <w:vAlign w:val="center"/>
          </w:tcPr>
          <w:p>
            <w:pPr>
              <w:pStyle w:val="0"/>
              <w:jc w:val="center"/>
            </w:pPr>
            <w:r>
              <w:rPr>
                <w:sz w:val="20"/>
              </w:rPr>
              <w:t xml:space="preserve">2,06</w:t>
            </w:r>
          </w:p>
        </w:tc>
        <w:tc>
          <w:tcPr>
            <w:tcW w:w="844" w:type="dxa"/>
            <w:vAlign w:val="center"/>
          </w:tcPr>
          <w:p>
            <w:pPr>
              <w:pStyle w:val="0"/>
              <w:jc w:val="center"/>
            </w:pPr>
            <w:r>
              <w:rPr>
                <w:sz w:val="20"/>
              </w:rPr>
              <w:t xml:space="preserve">0,57</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1.3.7. Уход за минерализованными полосами, км</w:t>
            </w:r>
          </w:p>
        </w:tc>
        <w:tc>
          <w:tcPr>
            <w:tcW w:w="1144" w:type="dxa"/>
            <w:vAlign w:val="center"/>
          </w:tcPr>
          <w:p>
            <w:pPr>
              <w:pStyle w:val="0"/>
              <w:jc w:val="center"/>
            </w:pPr>
            <w:r>
              <w:rPr>
                <w:sz w:val="20"/>
              </w:rPr>
              <w:t xml:space="preserve">4239,7</w:t>
            </w:r>
          </w:p>
        </w:tc>
        <w:tc>
          <w:tcPr>
            <w:tcW w:w="1024" w:type="dxa"/>
            <w:vAlign w:val="center"/>
          </w:tcPr>
          <w:p>
            <w:pPr>
              <w:pStyle w:val="0"/>
              <w:jc w:val="center"/>
            </w:pPr>
            <w:r>
              <w:rPr>
                <w:sz w:val="20"/>
              </w:rPr>
              <w:t xml:space="preserve">4239,7</w:t>
            </w:r>
          </w:p>
        </w:tc>
        <w:tc>
          <w:tcPr>
            <w:tcW w:w="1024" w:type="dxa"/>
            <w:vAlign w:val="center"/>
          </w:tcPr>
          <w:p>
            <w:pPr>
              <w:pStyle w:val="0"/>
              <w:jc w:val="center"/>
            </w:pPr>
            <w:r>
              <w:rPr>
                <w:sz w:val="20"/>
              </w:rPr>
              <w:t xml:space="preserve">4225,19</w:t>
            </w:r>
          </w:p>
        </w:tc>
        <w:tc>
          <w:tcPr>
            <w:tcW w:w="844" w:type="dxa"/>
            <w:vAlign w:val="center"/>
          </w:tcPr>
          <w:p>
            <w:pPr>
              <w:pStyle w:val="0"/>
              <w:jc w:val="center"/>
            </w:pPr>
            <w:r>
              <w:rPr>
                <w:sz w:val="20"/>
              </w:rPr>
              <w:t xml:space="preserve">4513,6</w:t>
            </w:r>
          </w:p>
        </w:tc>
        <w:tc>
          <w:tcPr>
            <w:tcW w:w="844" w:type="dxa"/>
            <w:vAlign w:val="center"/>
          </w:tcPr>
          <w:p>
            <w:pPr>
              <w:pStyle w:val="0"/>
              <w:jc w:val="center"/>
            </w:pPr>
            <w:r>
              <w:rPr>
                <w:sz w:val="20"/>
              </w:rPr>
              <w:t xml:space="preserve">4511,8</w:t>
            </w:r>
          </w:p>
        </w:tc>
        <w:tc>
          <w:tcPr>
            <w:tcW w:w="844" w:type="dxa"/>
            <w:vAlign w:val="center"/>
          </w:tcPr>
          <w:p>
            <w:pPr>
              <w:pStyle w:val="0"/>
              <w:jc w:val="center"/>
            </w:pPr>
            <w:r>
              <w:rPr>
                <w:sz w:val="20"/>
              </w:rPr>
              <w:t xml:space="preserve">4511,8</w:t>
            </w:r>
          </w:p>
        </w:tc>
        <w:tc>
          <w:tcPr>
            <w:tcW w:w="844" w:type="dxa"/>
            <w:vAlign w:val="center"/>
          </w:tcPr>
          <w:p>
            <w:pPr>
              <w:pStyle w:val="0"/>
              <w:jc w:val="center"/>
            </w:pPr>
            <w:r>
              <w:rPr>
                <w:sz w:val="20"/>
              </w:rPr>
              <w:t xml:space="preserve">4037,8</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1.3.8. Уход за противопожарными разрывами, км</w:t>
            </w:r>
          </w:p>
        </w:tc>
        <w:tc>
          <w:tcPr>
            <w:tcW w:w="11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w:t>
            </w:r>
          </w:p>
        </w:tc>
        <w:tc>
          <w:tcPr>
            <w:tcW w:w="1024" w:type="dxa"/>
            <w:vAlign w:val="center"/>
          </w:tcPr>
          <w:p>
            <w:pPr>
              <w:pStyle w:val="0"/>
              <w:jc w:val="center"/>
            </w:pPr>
            <w:r>
              <w:rPr>
                <w:sz w:val="20"/>
              </w:rPr>
              <w:t xml:space="preserve">9,6</w:t>
            </w:r>
          </w:p>
        </w:tc>
        <w:tc>
          <w:tcPr>
            <w:tcW w:w="844" w:type="dxa"/>
            <w:vAlign w:val="center"/>
          </w:tcPr>
          <w:p>
            <w:pPr>
              <w:pStyle w:val="0"/>
              <w:jc w:val="center"/>
            </w:pPr>
            <w:r>
              <w:rPr>
                <w:sz w:val="20"/>
              </w:rPr>
              <w:t xml:space="preserve">5,6</w:t>
            </w:r>
          </w:p>
        </w:tc>
        <w:tc>
          <w:tcPr>
            <w:tcW w:w="844" w:type="dxa"/>
            <w:vAlign w:val="center"/>
          </w:tcPr>
          <w:p>
            <w:pPr>
              <w:pStyle w:val="0"/>
              <w:jc w:val="center"/>
            </w:pPr>
            <w:r>
              <w:rPr>
                <w:sz w:val="20"/>
              </w:rPr>
              <w:t xml:space="preserve">6,38</w:t>
            </w:r>
          </w:p>
        </w:tc>
        <w:tc>
          <w:tcPr>
            <w:tcW w:w="844" w:type="dxa"/>
            <w:vAlign w:val="center"/>
          </w:tcPr>
          <w:p>
            <w:pPr>
              <w:pStyle w:val="0"/>
              <w:jc w:val="center"/>
            </w:pPr>
            <w:r>
              <w:rPr>
                <w:sz w:val="20"/>
              </w:rPr>
              <w:t xml:space="preserve">7,88</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1.3.9. Мониторинг пожарной опасности в лесах и лесных пожаров, га</w:t>
            </w:r>
          </w:p>
        </w:tc>
        <w:tc>
          <w:tcPr>
            <w:tcW w:w="1144" w:type="dxa"/>
            <w:vAlign w:val="center"/>
          </w:tcPr>
          <w:p>
            <w:pPr>
              <w:pStyle w:val="0"/>
              <w:jc w:val="center"/>
            </w:pPr>
            <w:r>
              <w:rPr>
                <w:sz w:val="20"/>
              </w:rPr>
              <w:t xml:space="preserve">175882,11</w:t>
            </w:r>
          </w:p>
        </w:tc>
        <w:tc>
          <w:tcPr>
            <w:tcW w:w="1024" w:type="dxa"/>
            <w:vAlign w:val="center"/>
          </w:tcPr>
          <w:p>
            <w:pPr>
              <w:pStyle w:val="0"/>
              <w:jc w:val="center"/>
            </w:pPr>
            <w:r>
              <w:rPr>
                <w:sz w:val="20"/>
              </w:rPr>
              <w:t xml:space="preserve">175510,8</w:t>
            </w:r>
          </w:p>
        </w:tc>
        <w:tc>
          <w:tcPr>
            <w:tcW w:w="1024" w:type="dxa"/>
            <w:vAlign w:val="center"/>
          </w:tcPr>
          <w:p>
            <w:pPr>
              <w:pStyle w:val="0"/>
              <w:jc w:val="center"/>
            </w:pPr>
            <w:r>
              <w:rPr>
                <w:sz w:val="20"/>
              </w:rPr>
              <w:t xml:space="preserve">175095,6</w:t>
            </w:r>
          </w:p>
        </w:tc>
        <w:tc>
          <w:tcPr>
            <w:tcW w:w="844" w:type="dxa"/>
            <w:vAlign w:val="center"/>
          </w:tcPr>
          <w:p>
            <w:pPr>
              <w:pStyle w:val="0"/>
              <w:jc w:val="center"/>
            </w:pPr>
            <w:r>
              <w:rPr>
                <w:sz w:val="20"/>
              </w:rPr>
              <w:t xml:space="preserve">230399</w:t>
            </w:r>
          </w:p>
        </w:tc>
        <w:tc>
          <w:tcPr>
            <w:tcW w:w="844" w:type="dxa"/>
            <w:vAlign w:val="center"/>
          </w:tcPr>
          <w:p>
            <w:pPr>
              <w:pStyle w:val="0"/>
              <w:jc w:val="center"/>
            </w:pPr>
            <w:r>
              <w:rPr>
                <w:sz w:val="20"/>
              </w:rPr>
              <w:t xml:space="preserve">230399</w:t>
            </w:r>
          </w:p>
        </w:tc>
        <w:tc>
          <w:tcPr>
            <w:tcW w:w="844" w:type="dxa"/>
            <w:vAlign w:val="center"/>
          </w:tcPr>
          <w:p>
            <w:pPr>
              <w:pStyle w:val="0"/>
              <w:jc w:val="center"/>
            </w:pPr>
            <w:r>
              <w:rPr>
                <w:sz w:val="20"/>
              </w:rPr>
              <w:t xml:space="preserve">230399</w:t>
            </w:r>
          </w:p>
        </w:tc>
        <w:tc>
          <w:tcPr>
            <w:tcW w:w="844" w:type="dxa"/>
            <w:vAlign w:val="center"/>
          </w:tcPr>
          <w:p>
            <w:pPr>
              <w:pStyle w:val="0"/>
              <w:jc w:val="center"/>
            </w:pPr>
            <w:r>
              <w:rPr>
                <w:sz w:val="20"/>
              </w:rPr>
              <w:t xml:space="preserve">230397</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2014 - 2017</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1.3.10. Доля объема заготовки древесины выборочными рубками в объеме древесины, процентов</w:t>
            </w:r>
          </w:p>
        </w:tc>
        <w:tc>
          <w:tcPr>
            <w:tcW w:w="1144" w:type="dxa"/>
            <w:vAlign w:val="center"/>
          </w:tcPr>
          <w:p>
            <w:pPr>
              <w:pStyle w:val="0"/>
              <w:jc w:val="center"/>
            </w:pPr>
            <w:r>
              <w:rPr>
                <w:sz w:val="20"/>
              </w:rPr>
              <w:t xml:space="preserve">93,8</w:t>
            </w:r>
          </w:p>
        </w:tc>
        <w:tc>
          <w:tcPr>
            <w:tcW w:w="1024" w:type="dxa"/>
            <w:vAlign w:val="center"/>
          </w:tcPr>
          <w:p>
            <w:pPr>
              <w:pStyle w:val="0"/>
              <w:jc w:val="center"/>
            </w:pPr>
            <w:r>
              <w:rPr>
                <w:sz w:val="20"/>
              </w:rPr>
              <w:t xml:space="preserve">93,8</w:t>
            </w:r>
          </w:p>
        </w:tc>
        <w:tc>
          <w:tcPr>
            <w:tcW w:w="1024" w:type="dxa"/>
            <w:vAlign w:val="center"/>
          </w:tcPr>
          <w:p>
            <w:pPr>
              <w:pStyle w:val="0"/>
              <w:jc w:val="center"/>
            </w:pPr>
            <w:r>
              <w:rPr>
                <w:sz w:val="20"/>
              </w:rPr>
              <w:t xml:space="preserve">93,8</w:t>
            </w:r>
          </w:p>
        </w:tc>
        <w:tc>
          <w:tcPr>
            <w:tcW w:w="844" w:type="dxa"/>
            <w:vAlign w:val="center"/>
          </w:tcPr>
          <w:p>
            <w:pPr>
              <w:pStyle w:val="0"/>
              <w:jc w:val="center"/>
            </w:pPr>
            <w:r>
              <w:rPr>
                <w:sz w:val="20"/>
              </w:rPr>
              <w:t xml:space="preserve">93,8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1.3.11. Отношение фактического объема заготовки древесины к установленному допустимому объему изъятия древесины, процентов</w:t>
            </w:r>
          </w:p>
        </w:tc>
        <w:tc>
          <w:tcPr>
            <w:tcW w:w="1144" w:type="dxa"/>
            <w:vAlign w:val="center"/>
          </w:tcPr>
          <w:p>
            <w:pPr>
              <w:pStyle w:val="0"/>
              <w:jc w:val="center"/>
            </w:pPr>
            <w:r>
              <w:rPr>
                <w:sz w:val="20"/>
              </w:rPr>
              <w:t xml:space="preserve">69,3</w:t>
            </w:r>
          </w:p>
        </w:tc>
        <w:tc>
          <w:tcPr>
            <w:tcW w:w="1024" w:type="dxa"/>
            <w:vAlign w:val="center"/>
          </w:tcPr>
          <w:p>
            <w:pPr>
              <w:pStyle w:val="0"/>
              <w:jc w:val="center"/>
            </w:pPr>
            <w:r>
              <w:rPr>
                <w:sz w:val="20"/>
              </w:rPr>
              <w:t xml:space="preserve">69,3</w:t>
            </w:r>
          </w:p>
        </w:tc>
        <w:tc>
          <w:tcPr>
            <w:tcW w:w="1024" w:type="dxa"/>
            <w:vAlign w:val="center"/>
          </w:tcPr>
          <w:p>
            <w:pPr>
              <w:pStyle w:val="0"/>
              <w:jc w:val="center"/>
            </w:pPr>
            <w:r>
              <w:rPr>
                <w:sz w:val="20"/>
              </w:rPr>
              <w:t xml:space="preserve">69,3</w:t>
            </w:r>
          </w:p>
        </w:tc>
        <w:tc>
          <w:tcPr>
            <w:tcW w:w="844" w:type="dxa"/>
            <w:vAlign w:val="center"/>
          </w:tcPr>
          <w:p>
            <w:pPr>
              <w:pStyle w:val="0"/>
              <w:jc w:val="center"/>
            </w:pPr>
            <w:r>
              <w:rPr>
                <w:sz w:val="20"/>
              </w:rPr>
              <w:t xml:space="preserve">70,2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27,9</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2020 - 2024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1.3.12. 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90</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2020 - 2024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1.3.13. Средняя численность должностных лиц, осуществляющих федеральный государственный лесной надзор (лесную охрану) на 50 тыс. га земель лесного фонда, человек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49</w:t>
            </w:r>
          </w:p>
        </w:tc>
      </w:tr>
      <w:tr>
        <w:tc>
          <w:tcPr>
            <w:tcW w:w="544" w:type="dxa"/>
            <w:vAlign w:val="center"/>
          </w:tcPr>
          <w:p>
            <w:pPr>
              <w:pStyle w:val="0"/>
              <w:jc w:val="center"/>
            </w:pPr>
            <w:r>
              <w:rPr>
                <w:sz w:val="20"/>
              </w:rPr>
              <w:t xml:space="preserve">2.4</w:t>
            </w:r>
          </w:p>
        </w:tc>
        <w:tc>
          <w:tcPr>
            <w:tcW w:w="2359" w:type="dxa"/>
            <w:vAlign w:val="center"/>
          </w:tcPr>
          <w:p>
            <w:pPr>
              <w:pStyle w:val="0"/>
              <w:jc w:val="center"/>
            </w:pPr>
            <w:r>
              <w:rPr>
                <w:sz w:val="20"/>
              </w:rPr>
              <w:t xml:space="preserve">Основное мероприятие 1.4 "Приобретение специализированной лесопожарной техники и оборудования"</w:t>
            </w:r>
          </w:p>
        </w:tc>
        <w:tc>
          <w:tcPr>
            <w:tcW w:w="2749" w:type="dxa"/>
            <w:vAlign w:val="center"/>
          </w:tcPr>
          <w:p>
            <w:pPr>
              <w:pStyle w:val="0"/>
              <w:jc w:val="center"/>
            </w:pPr>
            <w:r>
              <w:rPr>
                <w:sz w:val="20"/>
              </w:rPr>
              <w:t xml:space="preserve">Управление лесами Белгородской области</w:t>
            </w:r>
          </w:p>
        </w:tc>
        <w:tc>
          <w:tcPr>
            <w:tcW w:w="1384" w:type="dxa"/>
            <w:vAlign w:val="center"/>
          </w:tcPr>
          <w:p>
            <w:pPr>
              <w:pStyle w:val="0"/>
              <w:jc w:val="center"/>
            </w:pPr>
            <w:r>
              <w:rPr>
                <w:sz w:val="20"/>
              </w:rPr>
              <w:t xml:space="preserve">2016</w:t>
            </w: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Показатель 1.4.1. Доля лесных пожаров, возникших по вине граждан, в общем количестве лесных пожаров,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86,1</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2.5</w:t>
            </w:r>
          </w:p>
        </w:tc>
        <w:tc>
          <w:tcPr>
            <w:tcW w:w="2359" w:type="dxa"/>
            <w:vAlign w:val="center"/>
          </w:tcPr>
          <w:p>
            <w:pPr>
              <w:pStyle w:val="0"/>
              <w:jc w:val="center"/>
            </w:pPr>
            <w:r>
              <w:rPr>
                <w:sz w:val="20"/>
              </w:rPr>
              <w:t xml:space="preserve">Основное мероприятие 1.5 "Создание полезащитных полос"</w:t>
            </w:r>
          </w:p>
        </w:tc>
        <w:tc>
          <w:tcPr>
            <w:tcW w:w="2749" w:type="dxa"/>
            <w:vAlign w:val="center"/>
          </w:tcPr>
          <w:p>
            <w:pPr>
              <w:pStyle w:val="0"/>
              <w:jc w:val="center"/>
            </w:pPr>
            <w:r>
              <w:rPr>
                <w:sz w:val="20"/>
              </w:rPr>
              <w:t xml:space="preserve">Управление лесами Белгородской области</w:t>
            </w:r>
          </w:p>
        </w:tc>
        <w:tc>
          <w:tcPr>
            <w:tcW w:w="1384" w:type="dxa"/>
            <w:vAlign w:val="center"/>
          </w:tcPr>
          <w:p>
            <w:pPr>
              <w:pStyle w:val="0"/>
              <w:jc w:val="center"/>
            </w:pPr>
            <w:r>
              <w:rPr>
                <w:sz w:val="20"/>
              </w:rPr>
              <w:t xml:space="preserve">2016 - 2020</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1.5.1. Увеличение площади, покрытой лесами, га</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6471</w:t>
            </w:r>
          </w:p>
        </w:tc>
        <w:tc>
          <w:tcPr>
            <w:tcW w:w="844" w:type="dxa"/>
            <w:vAlign w:val="center"/>
          </w:tcPr>
          <w:p>
            <w:pPr>
              <w:pStyle w:val="0"/>
              <w:jc w:val="center"/>
            </w:pPr>
            <w:r>
              <w:rPr>
                <w:sz w:val="20"/>
              </w:rPr>
              <w:t xml:space="preserve">3872</w:t>
            </w:r>
          </w:p>
        </w:tc>
        <w:tc>
          <w:tcPr>
            <w:tcW w:w="844" w:type="dxa"/>
            <w:vAlign w:val="center"/>
          </w:tcPr>
          <w:p>
            <w:pPr>
              <w:pStyle w:val="0"/>
              <w:jc w:val="center"/>
            </w:pPr>
            <w:r>
              <w:rPr>
                <w:sz w:val="20"/>
              </w:rPr>
              <w:t xml:space="preserve">6862</w:t>
            </w:r>
          </w:p>
        </w:tc>
        <w:tc>
          <w:tcPr>
            <w:tcW w:w="844" w:type="dxa"/>
            <w:vAlign w:val="center"/>
          </w:tcPr>
          <w:p>
            <w:pPr>
              <w:pStyle w:val="0"/>
              <w:jc w:val="center"/>
            </w:pPr>
            <w:r>
              <w:rPr>
                <w:sz w:val="20"/>
              </w:rPr>
              <w:t xml:space="preserve">6862</w:t>
            </w:r>
          </w:p>
        </w:tc>
        <w:tc>
          <w:tcPr>
            <w:tcW w:w="844" w:type="dxa"/>
            <w:vAlign w:val="center"/>
          </w:tcPr>
          <w:p>
            <w:pPr>
              <w:pStyle w:val="0"/>
              <w:jc w:val="center"/>
            </w:pPr>
            <w:r>
              <w:rPr>
                <w:sz w:val="20"/>
              </w:rPr>
              <w:t xml:space="preserve">6860</w:t>
            </w:r>
          </w:p>
        </w:tc>
      </w:tr>
      <w:tr>
        <w:tc>
          <w:tcPr>
            <w:tcW w:w="544" w:type="dxa"/>
            <w:vAlign w:val="center"/>
            <w:vMerge w:val="restart"/>
          </w:tcPr>
          <w:p>
            <w:pPr>
              <w:pStyle w:val="0"/>
              <w:jc w:val="center"/>
            </w:pPr>
            <w:r>
              <w:rPr>
                <w:sz w:val="20"/>
              </w:rPr>
              <w:t xml:space="preserve">2.6</w:t>
            </w:r>
          </w:p>
        </w:tc>
        <w:tc>
          <w:tcPr>
            <w:tcW w:w="2359" w:type="dxa"/>
            <w:vAlign w:val="center"/>
            <w:vMerge w:val="restart"/>
          </w:tcPr>
          <w:p>
            <w:pPr>
              <w:pStyle w:val="0"/>
              <w:jc w:val="center"/>
            </w:pPr>
            <w:r>
              <w:rPr>
                <w:sz w:val="20"/>
              </w:rPr>
              <w:t xml:space="preserve">Проект 1.GA "Сохранение лесов"</w:t>
            </w:r>
          </w:p>
        </w:tc>
        <w:tc>
          <w:tcPr>
            <w:tcW w:w="2749" w:type="dxa"/>
            <w:vAlign w:val="center"/>
            <w:vMerge w:val="restart"/>
          </w:tcPr>
          <w:p>
            <w:pPr>
              <w:pStyle w:val="0"/>
              <w:jc w:val="center"/>
            </w:pPr>
            <w:r>
              <w:rPr>
                <w:sz w:val="20"/>
              </w:rPr>
              <w:t xml:space="preserve">Управление лесами Белгородской области</w:t>
            </w:r>
          </w:p>
        </w:tc>
        <w:tc>
          <w:tcPr>
            <w:tcW w:w="1384" w:type="dxa"/>
            <w:vAlign w:val="center"/>
            <w:vMerge w:val="restart"/>
          </w:tcPr>
          <w:p>
            <w:pPr>
              <w:pStyle w:val="0"/>
              <w:jc w:val="center"/>
            </w:pPr>
            <w:r>
              <w:rPr>
                <w:sz w:val="20"/>
              </w:rPr>
              <w:t xml:space="preserve">2019 - 2024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1.GA1. Отношение площади лесовосстановления и лесоразведения к площади вырубленных и погибших лесных насаждений,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1.GA2. Площадь лесовосстановления и лесоразведения, га</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96,7</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1.GA3. Запас семян лесных растений для лесоразведения, тонн</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8,89</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Показатель 1.GA4. Ущерб от лесных пожаров по годам, тыс. руб.</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1.GA5. Количество выращенного посадочного материала лесных растений, млн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21,9</w:t>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3</w:t>
            </w:r>
          </w:p>
        </w:tc>
        <w:tc>
          <w:tcPr>
            <w:tcW w:w="2359" w:type="dxa"/>
            <w:vAlign w:val="center"/>
            <w:vMerge w:val="restart"/>
          </w:tcPr>
          <w:p>
            <w:pPr>
              <w:pStyle w:val="0"/>
              <w:jc w:val="center"/>
            </w:pPr>
            <w:r>
              <w:rPr>
                <w:sz w:val="20"/>
              </w:rPr>
              <w:t xml:space="preserve">Подпрограмма 2 "Развитие водохозяйственного комплекса"</w:t>
            </w:r>
          </w:p>
        </w:tc>
        <w:tc>
          <w:tcPr>
            <w:tcW w:w="2749"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2014 - 2016</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населения, проживающего на подверженных негативному воздействию вод территориях, защищенного в результате проведения мероприятий по повышению защищенности от негативного воздействия вод, в общем количестве населения, проживающего на таких территориях, процентов</w:t>
            </w:r>
          </w:p>
        </w:tc>
        <w:tc>
          <w:tcPr>
            <w:tcW w:w="1144" w:type="dxa"/>
            <w:vAlign w:val="center"/>
          </w:tcPr>
          <w:p>
            <w:pPr>
              <w:pStyle w:val="0"/>
              <w:jc w:val="center"/>
            </w:pPr>
            <w:r>
              <w:rPr>
                <w:sz w:val="20"/>
              </w:rPr>
              <w:t xml:space="preserve">35</w:t>
            </w:r>
          </w:p>
        </w:tc>
        <w:tc>
          <w:tcPr>
            <w:tcW w:w="1024" w:type="dxa"/>
            <w:vAlign w:val="center"/>
          </w:tcPr>
          <w:p>
            <w:pPr>
              <w:pStyle w:val="0"/>
              <w:jc w:val="center"/>
            </w:pPr>
            <w:r>
              <w:rPr>
                <w:sz w:val="20"/>
              </w:rPr>
              <w:t xml:space="preserve">38</w:t>
            </w:r>
          </w:p>
        </w:tc>
        <w:tc>
          <w:tcPr>
            <w:tcW w:w="1024" w:type="dxa"/>
            <w:vAlign w:val="center"/>
          </w:tcPr>
          <w:p>
            <w:pPr>
              <w:pStyle w:val="0"/>
              <w:jc w:val="center"/>
            </w:pPr>
            <w:r>
              <w:rPr>
                <w:sz w:val="20"/>
              </w:rPr>
              <w:t xml:space="preserve">38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2017 - 2025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проведенных водохозяйственных мероприятий от установленного перечня водохозяйственных мероприятий, проводимых за счет субсидий, субвенций,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tcW w:w="544" w:type="dxa"/>
            <w:vAlign w:val="center"/>
            <w:vMerge w:val="restart"/>
          </w:tcPr>
          <w:p>
            <w:pPr>
              <w:pStyle w:val="0"/>
              <w:jc w:val="center"/>
            </w:pPr>
            <w:r>
              <w:rPr>
                <w:sz w:val="20"/>
              </w:rPr>
              <w:t xml:space="preserve">3.1</w:t>
            </w:r>
          </w:p>
        </w:tc>
        <w:tc>
          <w:tcPr>
            <w:tcW w:w="2359" w:type="dxa"/>
            <w:vAlign w:val="center"/>
            <w:vMerge w:val="restart"/>
          </w:tcPr>
          <w:p>
            <w:pPr>
              <w:pStyle w:val="0"/>
              <w:jc w:val="center"/>
            </w:pPr>
            <w:r>
              <w:rPr>
                <w:sz w:val="20"/>
              </w:rPr>
              <w:t xml:space="preserve">Основное мероприятие 2.1 "Осуществление органами государственной власти субъекта Российской Федерации отдельных полномочий в области водных отношений"</w:t>
            </w:r>
          </w:p>
        </w:tc>
        <w:tc>
          <w:tcPr>
            <w:tcW w:w="2749"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2014 - 2015, 2020</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2.1.1. Площадь работ по восстановлению и экологической реабилитации водных объектов, га</w:t>
            </w:r>
          </w:p>
        </w:tc>
        <w:tc>
          <w:tcPr>
            <w:tcW w:w="1144" w:type="dxa"/>
            <w:vAlign w:val="center"/>
          </w:tcPr>
          <w:p>
            <w:pPr>
              <w:pStyle w:val="0"/>
              <w:jc w:val="center"/>
            </w:pPr>
            <w:r>
              <w:rPr>
                <w:sz w:val="20"/>
              </w:rPr>
              <w:t xml:space="preserve">0,016</w:t>
            </w:r>
          </w:p>
        </w:tc>
        <w:tc>
          <w:tcPr>
            <w:tcW w:w="1024" w:type="dxa"/>
            <w:vAlign w:val="center"/>
          </w:tcPr>
          <w:p>
            <w:pPr>
              <w:pStyle w:val="0"/>
              <w:jc w:val="center"/>
            </w:pPr>
            <w:r>
              <w:rPr>
                <w:sz w:val="20"/>
              </w:rPr>
              <w:t xml:space="preserve">0,008</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1,5</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2016 - 2018</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2.1.2. Количество разработанных проектов по восстановлению и экологической реабилитации водных объектов,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w:t>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2014 - 2016</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2.1.3. Доля установленных водоохранных зон водных объектов в протяженности береговой линии, требующей установления водоохранных зон, процентов</w:t>
            </w:r>
          </w:p>
        </w:tc>
        <w:tc>
          <w:tcPr>
            <w:tcW w:w="1144" w:type="dxa"/>
            <w:vAlign w:val="center"/>
          </w:tcPr>
          <w:p>
            <w:pPr>
              <w:pStyle w:val="0"/>
              <w:jc w:val="center"/>
            </w:pPr>
            <w:r>
              <w:rPr>
                <w:sz w:val="20"/>
              </w:rPr>
              <w:t xml:space="preserve">20,83</w:t>
            </w:r>
          </w:p>
        </w:tc>
        <w:tc>
          <w:tcPr>
            <w:tcW w:w="1024" w:type="dxa"/>
            <w:vAlign w:val="center"/>
          </w:tcPr>
          <w:p>
            <w:pPr>
              <w:pStyle w:val="0"/>
              <w:jc w:val="center"/>
            </w:pPr>
            <w:r>
              <w:rPr>
                <w:sz w:val="20"/>
              </w:rPr>
              <w:t xml:space="preserve">20,83</w:t>
            </w:r>
          </w:p>
        </w:tc>
        <w:tc>
          <w:tcPr>
            <w:tcW w:w="1024" w:type="dxa"/>
            <w:vAlign w:val="center"/>
          </w:tcPr>
          <w:p>
            <w:pPr>
              <w:pStyle w:val="0"/>
              <w:jc w:val="center"/>
            </w:pPr>
            <w:r>
              <w:rPr>
                <w:sz w:val="20"/>
              </w:rPr>
              <w:t xml:space="preserve">20,83</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2017 - 2025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2.1.4. Определение границ водоохранных зон и прибрежных защитных полос рек, км/год</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t xml:space="preserve">222</w:t>
            </w:r>
          </w:p>
        </w:tc>
        <w:tc>
          <w:tcPr>
            <w:tcW w:w="844" w:type="dxa"/>
            <w:vAlign w:val="center"/>
          </w:tcPr>
          <w:p>
            <w:pPr>
              <w:pStyle w:val="0"/>
              <w:jc w:val="center"/>
            </w:pPr>
            <w:r>
              <w:rPr>
                <w:sz w:val="20"/>
              </w:rPr>
              <w:t xml:space="preserve">276</w:t>
            </w:r>
          </w:p>
        </w:tc>
        <w:tc>
          <w:tcPr>
            <w:tcW w:w="844" w:type="dxa"/>
            <w:vAlign w:val="center"/>
          </w:tcPr>
          <w:p>
            <w:pPr>
              <w:pStyle w:val="0"/>
              <w:jc w:val="center"/>
            </w:pPr>
            <w:r>
              <w:rPr>
                <w:sz w:val="20"/>
              </w:rPr>
              <w:t xml:space="preserve">200</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2017 - 2018</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2.1.5. Закрепление на местности границ водоохранных зон и прибрежных защитных полос рек посредством размещения специальных информационных знаков, км/год</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t xml:space="preserve">320</w:t>
            </w:r>
          </w:p>
        </w:tc>
        <w:tc>
          <w:tcPr>
            <w:tcW w:w="844" w:type="dxa"/>
            <w:vAlign w:val="center"/>
          </w:tcPr>
          <w:p>
            <w:pPr>
              <w:pStyle w:val="0"/>
              <w:jc w:val="center"/>
            </w:pPr>
            <w:r>
              <w:rPr>
                <w:sz w:val="20"/>
              </w:rPr>
              <w:t xml:space="preserve">150</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3.2</w:t>
            </w:r>
          </w:p>
        </w:tc>
        <w:tc>
          <w:tcPr>
            <w:tcW w:w="2359" w:type="dxa"/>
            <w:vAlign w:val="center"/>
            <w:vMerge w:val="restart"/>
          </w:tcPr>
          <w:p>
            <w:pPr>
              <w:pStyle w:val="0"/>
              <w:jc w:val="center"/>
            </w:pPr>
            <w:r>
              <w:rPr>
                <w:sz w:val="20"/>
              </w:rPr>
              <w:t xml:space="preserve">Основное мероприятие 2.2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749"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2014 - 2016, 2020 - 2025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2.2.1. Доля гидротехнических сооружений с неудовлетворительным и опасным уровнем безопасности, приведенных в безопасное техническое состояние, процентов</w:t>
            </w:r>
          </w:p>
        </w:tc>
        <w:tc>
          <w:tcPr>
            <w:tcW w:w="1144" w:type="dxa"/>
            <w:vAlign w:val="center"/>
          </w:tcPr>
          <w:p>
            <w:pPr>
              <w:pStyle w:val="0"/>
              <w:jc w:val="center"/>
            </w:pPr>
            <w:r>
              <w:rPr>
                <w:sz w:val="20"/>
              </w:rPr>
              <w:t xml:space="preserve">24,5</w:t>
            </w:r>
          </w:p>
        </w:tc>
        <w:tc>
          <w:tcPr>
            <w:tcW w:w="1024" w:type="dxa"/>
            <w:vAlign w:val="center"/>
          </w:tcPr>
          <w:p>
            <w:pPr>
              <w:pStyle w:val="0"/>
              <w:jc w:val="center"/>
            </w:pPr>
            <w:r>
              <w:rPr>
                <w:sz w:val="20"/>
              </w:rPr>
              <w:t xml:space="preserve">32,1</w:t>
            </w:r>
          </w:p>
        </w:tc>
        <w:tc>
          <w:tcPr>
            <w:tcW w:w="1024" w:type="dxa"/>
            <w:vAlign w:val="center"/>
          </w:tcPr>
          <w:p>
            <w:pPr>
              <w:pStyle w:val="0"/>
              <w:jc w:val="center"/>
            </w:pPr>
            <w:r>
              <w:rPr>
                <w:sz w:val="20"/>
              </w:rPr>
              <w:t xml:space="preserve">37,7</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50,9</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2.2.2. Количество разработанных проектов по капитальному ремонту бесхозяйных и муниципальных ГТС, штук</w:t>
            </w:r>
          </w:p>
        </w:tc>
        <w:tc>
          <w:tcPr>
            <w:tcW w:w="1144" w:type="dxa"/>
            <w:vAlign w:val="center"/>
          </w:tcPr>
          <w:p>
            <w:pPr>
              <w:pStyle w:val="0"/>
              <w:jc w:val="center"/>
            </w:pPr>
            <w:r>
              <w:rPr>
                <w:sz w:val="20"/>
              </w:rPr>
              <w:t xml:space="preserve">1</w:t>
            </w:r>
          </w:p>
        </w:tc>
        <w:tc>
          <w:tcPr>
            <w:tcW w:w="1024" w:type="dxa"/>
            <w:vAlign w:val="center"/>
          </w:tcPr>
          <w:p>
            <w:pPr>
              <w:pStyle w:val="0"/>
              <w:jc w:val="center"/>
            </w:pPr>
            <w:r>
              <w:rPr>
                <w:sz w:val="20"/>
              </w:rPr>
              <w:t xml:space="preserve">1</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Merge w:val="restart"/>
          </w:tcPr>
          <w:p>
            <w:pPr>
              <w:pStyle w:val="0"/>
              <w:jc w:val="center"/>
            </w:pPr>
            <w:r>
              <w:rPr>
                <w:sz w:val="20"/>
              </w:rPr>
            </w:r>
          </w:p>
        </w:tc>
        <w:tc>
          <w:tcPr>
            <w:tcW w:w="2359" w:type="dxa"/>
            <w:vMerge w:val="restart"/>
          </w:tcPr>
          <w:p>
            <w:pPr>
              <w:pStyle w:val="0"/>
              <w:jc w:val="center"/>
            </w:pPr>
            <w:r>
              <w:rPr>
                <w:sz w:val="20"/>
              </w:rPr>
            </w:r>
          </w:p>
        </w:tc>
        <w:tc>
          <w:tcPr>
            <w:tcW w:w="2749" w:type="dxa"/>
            <w:vMerge w:val="restart"/>
          </w:tcPr>
          <w:p>
            <w:pPr>
              <w:pStyle w:val="0"/>
              <w:jc w:val="center"/>
            </w:pPr>
            <w:r>
              <w:rPr>
                <w:sz w:val="20"/>
              </w:rPr>
            </w:r>
          </w:p>
        </w:tc>
        <w:tc>
          <w:tcPr>
            <w:tcW w:w="1384" w:type="dxa"/>
            <w:vAlign w:val="center"/>
          </w:tcPr>
          <w:p>
            <w:pPr>
              <w:pStyle w:val="0"/>
              <w:jc w:val="center"/>
            </w:pPr>
            <w:r>
              <w:rPr>
                <w:sz w:val="20"/>
              </w:rPr>
              <w:t xml:space="preserve">2016</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2.2.3. Количество разработанных отчетов по определению границ зон с особыми условиями использования территории,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2018 - 2025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2.2.4. 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t xml:space="preserve">2</w:t>
            </w:r>
          </w:p>
        </w:tc>
        <w:tc>
          <w:tcPr>
            <w:tcW w:w="844" w:type="dxa"/>
            <w:vAlign w:val="center"/>
          </w:tcPr>
          <w:p>
            <w:pPr>
              <w:pStyle w:val="0"/>
              <w:jc w:val="center"/>
            </w:pPr>
            <w:r>
              <w:rPr>
                <w:sz w:val="20"/>
              </w:rPr>
              <w:t xml:space="preserve">1</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2020 - 2025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2.2.5. Степень выполнения работ по мероприятиям,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43,5</w:t>
            </w:r>
          </w:p>
        </w:tc>
      </w:tr>
      <w:tr>
        <w:tc>
          <w:tcPr>
            <w:tcW w:w="544" w:type="dxa"/>
            <w:vAlign w:val="center"/>
            <w:vMerge w:val="restart"/>
          </w:tcPr>
          <w:p>
            <w:pPr>
              <w:pStyle w:val="0"/>
              <w:jc w:val="center"/>
            </w:pPr>
            <w:r>
              <w:rPr>
                <w:sz w:val="20"/>
              </w:rPr>
              <w:t xml:space="preserve">4</w:t>
            </w:r>
          </w:p>
        </w:tc>
        <w:tc>
          <w:tcPr>
            <w:tcW w:w="2359" w:type="dxa"/>
            <w:vAlign w:val="center"/>
            <w:vMerge w:val="restart"/>
          </w:tcPr>
          <w:p>
            <w:pPr>
              <w:pStyle w:val="0"/>
              <w:jc w:val="center"/>
            </w:pPr>
            <w:r>
              <w:rPr>
                <w:sz w:val="20"/>
              </w:rPr>
              <w:t xml:space="preserve">Подпрограмма 3 "Охрана окружающей среды и рациональное природопользование"</w:t>
            </w:r>
          </w:p>
        </w:tc>
        <w:tc>
          <w:tcPr>
            <w:tcW w:w="2749"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2014 - 2016</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гидротехнических сооружений с неудовлетворительным и опасным уровнем безопасности, приведенных в безопасное техническое состояние, процентов</w:t>
            </w:r>
          </w:p>
        </w:tc>
        <w:tc>
          <w:tcPr>
            <w:tcW w:w="1144" w:type="dxa"/>
            <w:vAlign w:val="center"/>
          </w:tcPr>
          <w:p>
            <w:pPr>
              <w:pStyle w:val="0"/>
              <w:jc w:val="center"/>
            </w:pPr>
            <w:r>
              <w:rPr>
                <w:sz w:val="20"/>
              </w:rPr>
              <w:t xml:space="preserve">24,5</w:t>
            </w:r>
          </w:p>
        </w:tc>
        <w:tc>
          <w:tcPr>
            <w:tcW w:w="1024" w:type="dxa"/>
            <w:vAlign w:val="center"/>
          </w:tcPr>
          <w:p>
            <w:pPr>
              <w:pStyle w:val="0"/>
              <w:jc w:val="center"/>
            </w:pPr>
            <w:r>
              <w:rPr>
                <w:sz w:val="20"/>
              </w:rPr>
              <w:t xml:space="preserve">32,1</w:t>
            </w:r>
          </w:p>
        </w:tc>
        <w:tc>
          <w:tcPr>
            <w:tcW w:w="1024" w:type="dxa"/>
            <w:vAlign w:val="center"/>
          </w:tcPr>
          <w:p>
            <w:pPr>
              <w:pStyle w:val="0"/>
              <w:jc w:val="center"/>
            </w:pPr>
            <w:r>
              <w:rPr>
                <w:sz w:val="20"/>
              </w:rPr>
              <w:t xml:space="preserve">37,7</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2017 - 2025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подготовленных проектных решений и отчетов, направленных на экологическую безопасность, стабилизацию и улучшение качества окружающей среды,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t xml:space="preserve">7</w:t>
            </w:r>
          </w:p>
        </w:tc>
        <w:tc>
          <w:tcPr>
            <w:tcW w:w="844" w:type="dxa"/>
            <w:vAlign w:val="center"/>
          </w:tcPr>
          <w:p>
            <w:pPr>
              <w:pStyle w:val="0"/>
              <w:jc w:val="center"/>
            </w:pPr>
            <w:r>
              <w:rPr>
                <w:sz w:val="20"/>
              </w:rPr>
              <w:t xml:space="preserve">17</w:t>
            </w:r>
          </w:p>
        </w:tc>
        <w:tc>
          <w:tcPr>
            <w:tcW w:w="844" w:type="dxa"/>
            <w:vAlign w:val="center"/>
          </w:tcPr>
          <w:p>
            <w:pPr>
              <w:pStyle w:val="0"/>
              <w:jc w:val="center"/>
            </w:pPr>
            <w:r>
              <w:rPr>
                <w:sz w:val="20"/>
              </w:rPr>
              <w:t xml:space="preserve">20</w:t>
            </w:r>
          </w:p>
        </w:tc>
        <w:tc>
          <w:tcPr>
            <w:tcW w:w="844" w:type="dxa"/>
            <w:vAlign w:val="center"/>
          </w:tcPr>
          <w:p>
            <w:pPr>
              <w:pStyle w:val="0"/>
              <w:jc w:val="center"/>
            </w:pPr>
            <w:r>
              <w:rPr>
                <w:sz w:val="20"/>
              </w:rPr>
              <w:t xml:space="preserve">5</w:t>
            </w:r>
          </w:p>
        </w:tc>
      </w:tr>
      <w:tr>
        <w:tc>
          <w:tcPr>
            <w:tcW w:w="544" w:type="dxa"/>
            <w:vAlign w:val="center"/>
            <w:vMerge w:val="restart"/>
          </w:tcPr>
          <w:p>
            <w:pPr>
              <w:pStyle w:val="0"/>
              <w:jc w:val="center"/>
            </w:pPr>
            <w:r>
              <w:rPr>
                <w:sz w:val="20"/>
              </w:rPr>
              <w:t xml:space="preserve">4.1</w:t>
            </w:r>
          </w:p>
        </w:tc>
        <w:tc>
          <w:tcPr>
            <w:tcW w:w="2359" w:type="dxa"/>
            <w:vAlign w:val="center"/>
            <w:vMerge w:val="restart"/>
          </w:tcPr>
          <w:p>
            <w:pPr>
              <w:pStyle w:val="0"/>
              <w:jc w:val="center"/>
            </w:pPr>
            <w:r>
              <w:rPr>
                <w:sz w:val="20"/>
              </w:rPr>
              <w:t xml:space="preserve">Основное мероприятие 3.1 "Охрана окружающей среды и рациональное природопользование"</w:t>
            </w:r>
          </w:p>
        </w:tc>
        <w:tc>
          <w:tcPr>
            <w:tcW w:w="2749"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3.1.1. Количество мест отбора проб и определение по ним качества воды и донных отложений, штук</w:t>
            </w:r>
          </w:p>
        </w:tc>
        <w:tc>
          <w:tcPr>
            <w:tcW w:w="1144" w:type="dxa"/>
            <w:vAlign w:val="center"/>
          </w:tcPr>
          <w:p>
            <w:pPr>
              <w:pStyle w:val="0"/>
              <w:jc w:val="center"/>
            </w:pPr>
            <w:r>
              <w:rPr>
                <w:sz w:val="20"/>
              </w:rPr>
              <w:t xml:space="preserve">15</w:t>
            </w:r>
          </w:p>
        </w:tc>
        <w:tc>
          <w:tcPr>
            <w:tcW w:w="1024" w:type="dxa"/>
            <w:vAlign w:val="center"/>
          </w:tcPr>
          <w:p>
            <w:pPr>
              <w:pStyle w:val="0"/>
              <w:jc w:val="center"/>
            </w:pPr>
            <w:r>
              <w:rPr>
                <w:sz w:val="20"/>
              </w:rPr>
              <w:t xml:space="preserve">15</w:t>
            </w:r>
          </w:p>
        </w:tc>
        <w:tc>
          <w:tcPr>
            <w:tcW w:w="1024" w:type="dxa"/>
            <w:vAlign w:val="center"/>
          </w:tcPr>
          <w:p>
            <w:pPr>
              <w:pStyle w:val="0"/>
              <w:jc w:val="center"/>
            </w:pPr>
            <w:r>
              <w:rPr>
                <w:sz w:val="20"/>
              </w:rPr>
              <w:t xml:space="preserve">5</w:t>
            </w:r>
          </w:p>
        </w:tc>
        <w:tc>
          <w:tcPr>
            <w:tcW w:w="844" w:type="dxa"/>
            <w:vAlign w:val="center"/>
          </w:tcPr>
          <w:p>
            <w:pPr>
              <w:pStyle w:val="0"/>
              <w:jc w:val="center"/>
            </w:pPr>
            <w:r>
              <w:rPr>
                <w:sz w:val="20"/>
              </w:rPr>
              <w:t xml:space="preserve">5</w:t>
            </w:r>
          </w:p>
        </w:tc>
        <w:tc>
          <w:tcPr>
            <w:tcW w:w="844" w:type="dxa"/>
            <w:vAlign w:val="center"/>
          </w:tcPr>
          <w:p>
            <w:pPr>
              <w:pStyle w:val="0"/>
              <w:jc w:val="center"/>
            </w:pPr>
            <w:r>
              <w:rPr>
                <w:sz w:val="20"/>
              </w:rPr>
              <w:t xml:space="preserve">15</w:t>
            </w:r>
          </w:p>
        </w:tc>
        <w:tc>
          <w:tcPr>
            <w:tcW w:w="844" w:type="dxa"/>
            <w:vAlign w:val="center"/>
          </w:tcPr>
          <w:p>
            <w:pPr>
              <w:pStyle w:val="0"/>
              <w:jc w:val="center"/>
            </w:pPr>
            <w:r>
              <w:rPr>
                <w:sz w:val="20"/>
              </w:rPr>
              <w:t xml:space="preserve">5</w:t>
            </w:r>
          </w:p>
        </w:tc>
        <w:tc>
          <w:tcPr>
            <w:tcW w:w="844" w:type="dxa"/>
            <w:vAlign w:val="center"/>
          </w:tcPr>
          <w:p>
            <w:pPr>
              <w:pStyle w:val="0"/>
              <w:jc w:val="center"/>
            </w:pPr>
            <w:r>
              <w:rPr>
                <w:sz w:val="20"/>
              </w:rPr>
              <w:t xml:space="preserve">8</w:t>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2014 - 2015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3.1.2. Количество созданных слоев пространственных данных по природопользованию и охране окружающей среды, штук</w:t>
            </w:r>
          </w:p>
        </w:tc>
        <w:tc>
          <w:tcPr>
            <w:tcW w:w="1144" w:type="dxa"/>
            <w:vAlign w:val="center"/>
          </w:tcPr>
          <w:p>
            <w:pPr>
              <w:pStyle w:val="0"/>
              <w:jc w:val="center"/>
            </w:pPr>
            <w:r>
              <w:rPr>
                <w:sz w:val="20"/>
              </w:rPr>
              <w:t xml:space="preserve">1</w:t>
            </w:r>
          </w:p>
        </w:tc>
        <w:tc>
          <w:tcPr>
            <w:tcW w:w="1024" w:type="dxa"/>
            <w:vAlign w:val="center"/>
          </w:tcPr>
          <w:p>
            <w:pPr>
              <w:pStyle w:val="0"/>
              <w:jc w:val="center"/>
            </w:pPr>
            <w:r>
              <w:rPr>
                <w:sz w:val="20"/>
              </w:rPr>
              <w:t xml:space="preserve">1</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2017</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3.1.3. Количество разработанных отчетов по определению границ зон с особыми условиями использования территории,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2018</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3.1.4. Количество разработанных региональных программ мониторинга состояния дна, берегов водных объектов и водоохранных зон,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4.2</w:t>
            </w:r>
          </w:p>
        </w:tc>
        <w:tc>
          <w:tcPr>
            <w:tcW w:w="2359" w:type="dxa"/>
            <w:vAlign w:val="center"/>
          </w:tcPr>
          <w:p>
            <w:pPr>
              <w:pStyle w:val="0"/>
              <w:jc w:val="center"/>
            </w:pPr>
            <w:r>
              <w:rPr>
                <w:sz w:val="20"/>
              </w:rPr>
              <w:t xml:space="preserve">Основное мероприятие 3.2 "Субсидии на разработку научно обоснованных проектов бассейнового природопользования"</w:t>
            </w: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3.2.1. Площадь территории, охваченной разработкой проектов бассейнового природопользования, га</w:t>
            </w:r>
          </w:p>
        </w:tc>
        <w:tc>
          <w:tcPr>
            <w:tcW w:w="1144" w:type="dxa"/>
            <w:vAlign w:val="center"/>
          </w:tcPr>
          <w:p>
            <w:pPr>
              <w:pStyle w:val="0"/>
              <w:jc w:val="center"/>
            </w:pPr>
            <w:r>
              <w:rPr>
                <w:sz w:val="20"/>
              </w:rPr>
              <w:t xml:space="preserve">268000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4.3</w:t>
            </w:r>
          </w:p>
        </w:tc>
        <w:tc>
          <w:tcPr>
            <w:tcW w:w="2359" w:type="dxa"/>
            <w:vAlign w:val="center"/>
          </w:tcPr>
          <w:p>
            <w:pPr>
              <w:pStyle w:val="0"/>
              <w:jc w:val="center"/>
            </w:pPr>
            <w:r>
              <w:rPr>
                <w:sz w:val="20"/>
              </w:rPr>
              <w:t xml:space="preserve">Основное мероприятие 3.3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3.3.1. Количество разработанных проектов по капитальному ремонту бесхозяйных и муниципальных ГТС, штук</w:t>
            </w:r>
          </w:p>
        </w:tc>
        <w:tc>
          <w:tcPr>
            <w:tcW w:w="1144" w:type="dxa"/>
            <w:vAlign w:val="center"/>
          </w:tcPr>
          <w:p>
            <w:pPr>
              <w:pStyle w:val="0"/>
              <w:jc w:val="center"/>
            </w:pPr>
            <w:r>
              <w:rPr>
                <w:sz w:val="20"/>
              </w:rPr>
              <w:t xml:space="preserve">4</w:t>
            </w:r>
          </w:p>
        </w:tc>
        <w:tc>
          <w:tcPr>
            <w:tcW w:w="1024" w:type="dxa"/>
            <w:vAlign w:val="center"/>
          </w:tcPr>
          <w:p>
            <w:pPr>
              <w:pStyle w:val="0"/>
              <w:jc w:val="center"/>
            </w:pPr>
            <w:r>
              <w:rPr>
                <w:sz w:val="20"/>
              </w:rPr>
              <w:t xml:space="preserve">4</w:t>
            </w:r>
          </w:p>
        </w:tc>
        <w:tc>
          <w:tcPr>
            <w:tcW w:w="1024" w:type="dxa"/>
            <w:vAlign w:val="center"/>
          </w:tcPr>
          <w:p>
            <w:pPr>
              <w:pStyle w:val="0"/>
              <w:jc w:val="center"/>
            </w:pPr>
            <w:r>
              <w:rPr>
                <w:sz w:val="20"/>
              </w:rPr>
              <w:t xml:space="preserve">4</w:t>
            </w:r>
          </w:p>
        </w:tc>
        <w:tc>
          <w:tcPr>
            <w:tcW w:w="844" w:type="dxa"/>
            <w:vAlign w:val="center"/>
          </w:tcPr>
          <w:p>
            <w:pPr>
              <w:pStyle w:val="0"/>
              <w:jc w:val="center"/>
            </w:pPr>
            <w:r>
              <w:rPr>
                <w:sz w:val="20"/>
              </w:rPr>
              <w:t xml:space="preserve">5</w:t>
            </w:r>
          </w:p>
        </w:tc>
        <w:tc>
          <w:tcPr>
            <w:tcW w:w="844" w:type="dxa"/>
            <w:vAlign w:val="center"/>
          </w:tcPr>
          <w:p>
            <w:pPr>
              <w:pStyle w:val="0"/>
              <w:jc w:val="center"/>
            </w:pPr>
            <w:r>
              <w:rPr>
                <w:sz w:val="20"/>
              </w:rPr>
              <w:t xml:space="preserve">2</w:t>
            </w:r>
          </w:p>
        </w:tc>
        <w:tc>
          <w:tcPr>
            <w:tcW w:w="844" w:type="dxa"/>
            <w:vAlign w:val="center"/>
          </w:tcPr>
          <w:p>
            <w:pPr>
              <w:pStyle w:val="0"/>
              <w:jc w:val="center"/>
            </w:pPr>
            <w:r>
              <w:rPr>
                <w:sz w:val="20"/>
              </w:rPr>
              <w:t xml:space="preserve">3</w:t>
            </w:r>
          </w:p>
        </w:tc>
        <w:tc>
          <w:tcPr>
            <w:tcW w:w="844" w:type="dxa"/>
            <w:vAlign w:val="center"/>
          </w:tcPr>
          <w:p>
            <w:pPr>
              <w:pStyle w:val="0"/>
              <w:jc w:val="center"/>
            </w:pPr>
            <w:r>
              <w:rPr>
                <w:sz w:val="20"/>
              </w:rPr>
              <w:t xml:space="preserve">3</w:t>
            </w:r>
          </w:p>
        </w:tc>
      </w:tr>
      <w:tr>
        <w:tc>
          <w:tcPr>
            <w:tcW w:w="544" w:type="dxa"/>
            <w:vAlign w:val="center"/>
          </w:tcPr>
          <w:p>
            <w:pPr>
              <w:pStyle w:val="0"/>
              <w:jc w:val="center"/>
            </w:pPr>
            <w:r>
              <w:rPr>
                <w:sz w:val="20"/>
              </w:rPr>
              <w:t xml:space="preserve">4.4</w:t>
            </w:r>
          </w:p>
        </w:tc>
        <w:tc>
          <w:tcPr>
            <w:tcW w:w="2359" w:type="dxa"/>
            <w:vAlign w:val="center"/>
          </w:tcPr>
          <w:p>
            <w:pPr>
              <w:pStyle w:val="0"/>
              <w:jc w:val="center"/>
            </w:pPr>
            <w:r>
              <w:rPr>
                <w:sz w:val="20"/>
              </w:rPr>
              <w:t xml:space="preserve">Основное мероприятие 3.4 "Субсидии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области</w:t>
            </w:r>
          </w:p>
        </w:tc>
        <w:tc>
          <w:tcPr>
            <w:tcW w:w="1384" w:type="dxa"/>
            <w:vAlign w:val="center"/>
          </w:tcPr>
          <w:p>
            <w:pPr>
              <w:pStyle w:val="0"/>
              <w:jc w:val="center"/>
            </w:pPr>
            <w:r>
              <w:rPr>
                <w:sz w:val="20"/>
              </w:rPr>
              <w:t xml:space="preserve">2018 - 2019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3.4.1. Количество разработанных проектов на рекультивацию объектов накопленного вреда окружающей среде, штук</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13</w:t>
            </w:r>
          </w:p>
        </w:tc>
        <w:tc>
          <w:tcPr>
            <w:tcW w:w="844" w:type="dxa"/>
            <w:vAlign w:val="center"/>
          </w:tcPr>
          <w:p>
            <w:pPr>
              <w:pStyle w:val="0"/>
              <w:jc w:val="center"/>
            </w:pPr>
            <w:r>
              <w:rPr>
                <w:sz w:val="20"/>
              </w:rPr>
              <w:t xml:space="preserve">13</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5</w:t>
            </w:r>
          </w:p>
        </w:tc>
        <w:tc>
          <w:tcPr>
            <w:tcW w:w="2359" w:type="dxa"/>
            <w:vAlign w:val="center"/>
          </w:tcPr>
          <w:p>
            <w:pPr>
              <w:pStyle w:val="0"/>
              <w:jc w:val="center"/>
            </w:pPr>
            <w:r>
              <w:rPr>
                <w:sz w:val="20"/>
              </w:rPr>
              <w:t xml:space="preserve">Подпрограмма 4 "Сохранение, воспроизводство и использование животного мира"</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Отношение фактической добычи косули европейской к установленным лимитам добычи, процентов</w:t>
            </w:r>
          </w:p>
        </w:tc>
        <w:tc>
          <w:tcPr>
            <w:tcW w:w="1144" w:type="dxa"/>
            <w:vAlign w:val="center"/>
          </w:tcPr>
          <w:p>
            <w:pPr>
              <w:pStyle w:val="0"/>
              <w:jc w:val="center"/>
            </w:pPr>
            <w:r>
              <w:rPr>
                <w:sz w:val="20"/>
              </w:rPr>
              <w:t xml:space="preserve">75</w:t>
            </w:r>
          </w:p>
        </w:tc>
        <w:tc>
          <w:tcPr>
            <w:tcW w:w="1024" w:type="dxa"/>
            <w:vAlign w:val="center"/>
          </w:tcPr>
          <w:p>
            <w:pPr>
              <w:pStyle w:val="0"/>
              <w:jc w:val="center"/>
            </w:pPr>
            <w:r>
              <w:rPr>
                <w:sz w:val="20"/>
              </w:rPr>
              <w:t xml:space="preserve">76</w:t>
            </w:r>
          </w:p>
        </w:tc>
        <w:tc>
          <w:tcPr>
            <w:tcW w:w="1024" w:type="dxa"/>
            <w:vAlign w:val="center"/>
          </w:tcPr>
          <w:p>
            <w:pPr>
              <w:pStyle w:val="0"/>
              <w:jc w:val="center"/>
            </w:pPr>
            <w:r>
              <w:rPr>
                <w:sz w:val="20"/>
              </w:rPr>
              <w:t xml:space="preserve">77</w:t>
            </w:r>
          </w:p>
        </w:tc>
        <w:tc>
          <w:tcPr>
            <w:tcW w:w="844" w:type="dxa"/>
            <w:vAlign w:val="center"/>
          </w:tcPr>
          <w:p>
            <w:pPr>
              <w:pStyle w:val="0"/>
              <w:jc w:val="center"/>
            </w:pPr>
            <w:r>
              <w:rPr>
                <w:sz w:val="20"/>
              </w:rPr>
              <w:t xml:space="preserve">78</w:t>
            </w:r>
          </w:p>
        </w:tc>
        <w:tc>
          <w:tcPr>
            <w:tcW w:w="844" w:type="dxa"/>
            <w:vAlign w:val="center"/>
          </w:tcPr>
          <w:p>
            <w:pPr>
              <w:pStyle w:val="0"/>
              <w:jc w:val="center"/>
            </w:pPr>
            <w:r>
              <w:rPr>
                <w:sz w:val="20"/>
              </w:rPr>
              <w:t xml:space="preserve">79</w:t>
            </w:r>
          </w:p>
        </w:tc>
        <w:tc>
          <w:tcPr>
            <w:tcW w:w="844" w:type="dxa"/>
            <w:vAlign w:val="center"/>
          </w:tcPr>
          <w:p>
            <w:pPr>
              <w:pStyle w:val="0"/>
              <w:jc w:val="center"/>
            </w:pPr>
            <w:r>
              <w:rPr>
                <w:sz w:val="20"/>
              </w:rPr>
              <w:t xml:space="preserve">80</w:t>
            </w:r>
          </w:p>
        </w:tc>
        <w:tc>
          <w:tcPr>
            <w:tcW w:w="844" w:type="dxa"/>
            <w:vAlign w:val="center"/>
          </w:tcPr>
          <w:p>
            <w:pPr>
              <w:pStyle w:val="0"/>
              <w:jc w:val="center"/>
            </w:pPr>
            <w:r>
              <w:rPr>
                <w:sz w:val="20"/>
              </w:rPr>
              <w:t xml:space="preserve">75</w:t>
            </w:r>
          </w:p>
        </w:tc>
      </w:tr>
      <w:tr>
        <w:tc>
          <w:tcPr>
            <w:tcW w:w="544" w:type="dxa"/>
            <w:vAlign w:val="center"/>
          </w:tcPr>
          <w:p>
            <w:pPr>
              <w:pStyle w:val="0"/>
              <w:jc w:val="center"/>
            </w:pPr>
            <w:r>
              <w:rPr>
                <w:sz w:val="20"/>
              </w:rPr>
              <w:t xml:space="preserve">5.1</w:t>
            </w:r>
          </w:p>
        </w:tc>
        <w:tc>
          <w:tcPr>
            <w:tcW w:w="2359" w:type="dxa"/>
            <w:vAlign w:val="center"/>
          </w:tcPr>
          <w:p>
            <w:pPr>
              <w:pStyle w:val="0"/>
              <w:jc w:val="center"/>
            </w:pPr>
            <w:r>
              <w:rPr>
                <w:sz w:val="20"/>
              </w:rPr>
              <w:t xml:space="preserve">Основное мероприятие 4.1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2014 - 2016</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4.1.1. Отношение фактической добычи косули европейской к установленным лимитам добычи, процентов</w:t>
            </w:r>
          </w:p>
        </w:tc>
        <w:tc>
          <w:tcPr>
            <w:tcW w:w="1144" w:type="dxa"/>
            <w:vAlign w:val="center"/>
          </w:tcPr>
          <w:p>
            <w:pPr>
              <w:pStyle w:val="0"/>
              <w:jc w:val="center"/>
            </w:pPr>
            <w:r>
              <w:rPr>
                <w:sz w:val="20"/>
              </w:rPr>
              <w:t xml:space="preserve">75</w:t>
            </w:r>
          </w:p>
        </w:tc>
        <w:tc>
          <w:tcPr>
            <w:tcW w:w="1024" w:type="dxa"/>
            <w:vAlign w:val="center"/>
          </w:tcPr>
          <w:p>
            <w:pPr>
              <w:pStyle w:val="0"/>
              <w:jc w:val="center"/>
            </w:pPr>
            <w:r>
              <w:rPr>
                <w:sz w:val="20"/>
              </w:rPr>
              <w:t xml:space="preserve">76</w:t>
            </w:r>
          </w:p>
        </w:tc>
        <w:tc>
          <w:tcPr>
            <w:tcW w:w="1024" w:type="dxa"/>
            <w:vAlign w:val="center"/>
          </w:tcPr>
          <w:p>
            <w:pPr>
              <w:pStyle w:val="0"/>
              <w:jc w:val="center"/>
            </w:pPr>
            <w:r>
              <w:rPr>
                <w:sz w:val="20"/>
              </w:rPr>
              <w:t xml:space="preserve">77</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5.2</w:t>
            </w:r>
          </w:p>
        </w:tc>
        <w:tc>
          <w:tcPr>
            <w:tcW w:w="2359" w:type="dxa"/>
            <w:vAlign w:val="center"/>
          </w:tcPr>
          <w:p>
            <w:pPr>
              <w:pStyle w:val="0"/>
              <w:jc w:val="center"/>
            </w:pPr>
            <w:r>
              <w:rPr>
                <w:sz w:val="20"/>
              </w:rPr>
              <w:t xml:space="preserve">Основное мероприятие 4.2 "Мероприятия в рамках подпрограммы 4 "Сохранение, воспроизводство и использование животного мира"</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2014 - 2016</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4.2.1. Отношение фактической численности косули европейской к расчетной, процентов</w:t>
            </w:r>
          </w:p>
        </w:tc>
        <w:tc>
          <w:tcPr>
            <w:tcW w:w="1144" w:type="dxa"/>
            <w:vAlign w:val="center"/>
          </w:tcPr>
          <w:p>
            <w:pPr>
              <w:pStyle w:val="0"/>
              <w:jc w:val="center"/>
            </w:pPr>
            <w:r>
              <w:rPr>
                <w:sz w:val="20"/>
              </w:rPr>
              <w:t xml:space="preserve">16,7</w:t>
            </w:r>
          </w:p>
        </w:tc>
        <w:tc>
          <w:tcPr>
            <w:tcW w:w="1024" w:type="dxa"/>
            <w:vAlign w:val="center"/>
          </w:tcPr>
          <w:p>
            <w:pPr>
              <w:pStyle w:val="0"/>
              <w:jc w:val="center"/>
            </w:pPr>
            <w:r>
              <w:rPr>
                <w:sz w:val="20"/>
              </w:rPr>
              <w:t xml:space="preserve">16,9</w:t>
            </w:r>
          </w:p>
        </w:tc>
        <w:tc>
          <w:tcPr>
            <w:tcW w:w="1024" w:type="dxa"/>
            <w:vAlign w:val="center"/>
          </w:tcPr>
          <w:p>
            <w:pPr>
              <w:pStyle w:val="0"/>
              <w:jc w:val="center"/>
            </w:pPr>
            <w:r>
              <w:rPr>
                <w:sz w:val="20"/>
              </w:rPr>
              <w:t xml:space="preserve">17,1</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5.3</w:t>
            </w:r>
          </w:p>
        </w:tc>
        <w:tc>
          <w:tcPr>
            <w:tcW w:w="2359" w:type="dxa"/>
            <w:vAlign w:val="center"/>
          </w:tcPr>
          <w:p>
            <w:pPr>
              <w:pStyle w:val="0"/>
              <w:jc w:val="center"/>
            </w:pPr>
            <w:r>
              <w:rPr>
                <w:sz w:val="20"/>
              </w:rPr>
              <w:t xml:space="preserve">Основное мероприятие 4.3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4.3.1. Доля нарушений, выявленных при осуществлении федерального государственного охотничьего надзора, по которым вынесены постановления о привлечении к ответственности, к общему количеству выявленных нарушений, процентов</w:t>
            </w:r>
          </w:p>
        </w:tc>
        <w:tc>
          <w:tcPr>
            <w:tcW w:w="1144" w:type="dxa"/>
            <w:vAlign w:val="center"/>
          </w:tcPr>
          <w:p>
            <w:pPr>
              <w:pStyle w:val="0"/>
              <w:jc w:val="center"/>
            </w:pPr>
            <w:r>
              <w:rPr>
                <w:sz w:val="20"/>
              </w:rPr>
              <w:t xml:space="preserve">75</w:t>
            </w:r>
          </w:p>
        </w:tc>
        <w:tc>
          <w:tcPr>
            <w:tcW w:w="1024" w:type="dxa"/>
            <w:vAlign w:val="center"/>
          </w:tcPr>
          <w:p>
            <w:pPr>
              <w:pStyle w:val="0"/>
              <w:jc w:val="center"/>
            </w:pPr>
            <w:r>
              <w:rPr>
                <w:sz w:val="20"/>
              </w:rPr>
              <w:t xml:space="preserve">75</w:t>
            </w:r>
          </w:p>
        </w:tc>
        <w:tc>
          <w:tcPr>
            <w:tcW w:w="1024" w:type="dxa"/>
            <w:vAlign w:val="center"/>
          </w:tcPr>
          <w:p>
            <w:pPr>
              <w:pStyle w:val="0"/>
              <w:jc w:val="center"/>
            </w:pPr>
            <w:r>
              <w:rPr>
                <w:sz w:val="20"/>
              </w:rPr>
              <w:t xml:space="preserve">75</w:t>
            </w:r>
          </w:p>
        </w:tc>
        <w:tc>
          <w:tcPr>
            <w:tcW w:w="844" w:type="dxa"/>
            <w:vAlign w:val="center"/>
          </w:tcPr>
          <w:p>
            <w:pPr>
              <w:pStyle w:val="0"/>
              <w:jc w:val="center"/>
            </w:pPr>
            <w:r>
              <w:rPr>
                <w:sz w:val="20"/>
              </w:rPr>
              <w:t xml:space="preserve">75</w:t>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t xml:space="preserve">82</w:t>
            </w:r>
          </w:p>
        </w:tc>
        <w:tc>
          <w:tcPr>
            <w:tcW w:w="844" w:type="dxa"/>
            <w:vAlign w:val="center"/>
          </w:tcPr>
          <w:p>
            <w:pPr>
              <w:pStyle w:val="0"/>
              <w:jc w:val="center"/>
            </w:pPr>
            <w:r>
              <w:rPr>
                <w:sz w:val="20"/>
              </w:rPr>
              <w:t xml:space="preserve">83</w:t>
            </w:r>
          </w:p>
        </w:tc>
      </w:tr>
      <w:tr>
        <w:tc>
          <w:tcPr>
            <w:tcW w:w="544" w:type="dxa"/>
            <w:vAlign w:val="center"/>
          </w:tcPr>
          <w:p>
            <w:pPr>
              <w:pStyle w:val="0"/>
              <w:jc w:val="center"/>
            </w:pPr>
            <w:r>
              <w:rPr>
                <w:sz w:val="20"/>
              </w:rPr>
              <w:t xml:space="preserve">5.4</w:t>
            </w:r>
          </w:p>
        </w:tc>
        <w:tc>
          <w:tcPr>
            <w:tcW w:w="2359" w:type="dxa"/>
            <w:vAlign w:val="center"/>
          </w:tcPr>
          <w:p>
            <w:pPr>
              <w:pStyle w:val="0"/>
              <w:jc w:val="center"/>
            </w:pPr>
            <w:r>
              <w:rPr>
                <w:sz w:val="20"/>
              </w:rPr>
              <w:t xml:space="preserve">Основное мероприятие 4.4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4.4.1. Доля заселенных искусственных гнездовых сооружений к общему количеству установленных искусственных гнездовых сооружений на территории Белгородской области, процентов</w:t>
            </w:r>
          </w:p>
        </w:tc>
        <w:tc>
          <w:tcPr>
            <w:tcW w:w="1144" w:type="dxa"/>
            <w:vAlign w:val="center"/>
          </w:tcPr>
          <w:p>
            <w:pPr>
              <w:pStyle w:val="0"/>
              <w:jc w:val="center"/>
            </w:pPr>
            <w:r>
              <w:rPr>
                <w:sz w:val="20"/>
              </w:rPr>
              <w:t xml:space="preserve">50</w:t>
            </w:r>
          </w:p>
        </w:tc>
        <w:tc>
          <w:tcPr>
            <w:tcW w:w="1024" w:type="dxa"/>
            <w:vAlign w:val="center"/>
          </w:tcPr>
          <w:p>
            <w:pPr>
              <w:pStyle w:val="0"/>
              <w:jc w:val="center"/>
            </w:pPr>
            <w:r>
              <w:rPr>
                <w:sz w:val="20"/>
              </w:rPr>
              <w:t xml:space="preserve">50</w:t>
            </w:r>
          </w:p>
        </w:tc>
        <w:tc>
          <w:tcPr>
            <w:tcW w:w="1024" w:type="dxa"/>
            <w:vAlign w:val="center"/>
          </w:tcPr>
          <w:p>
            <w:pPr>
              <w:pStyle w:val="0"/>
              <w:jc w:val="center"/>
            </w:pPr>
            <w:r>
              <w:rPr>
                <w:sz w:val="20"/>
              </w:rPr>
              <w:t xml:space="preserve">50</w:t>
            </w:r>
          </w:p>
        </w:tc>
        <w:tc>
          <w:tcPr>
            <w:tcW w:w="844" w:type="dxa"/>
            <w:vAlign w:val="center"/>
          </w:tcPr>
          <w:p>
            <w:pPr>
              <w:pStyle w:val="0"/>
              <w:jc w:val="center"/>
            </w:pPr>
            <w:r>
              <w:rPr>
                <w:sz w:val="20"/>
              </w:rPr>
              <w:t xml:space="preserve">50</w:t>
            </w:r>
          </w:p>
        </w:tc>
        <w:tc>
          <w:tcPr>
            <w:tcW w:w="844" w:type="dxa"/>
            <w:vAlign w:val="center"/>
          </w:tcPr>
          <w:p>
            <w:pPr>
              <w:pStyle w:val="0"/>
              <w:jc w:val="center"/>
            </w:pPr>
            <w:r>
              <w:rPr>
                <w:sz w:val="20"/>
              </w:rPr>
              <w:t xml:space="preserve">55</w:t>
            </w:r>
          </w:p>
        </w:tc>
        <w:tc>
          <w:tcPr>
            <w:tcW w:w="844" w:type="dxa"/>
            <w:vAlign w:val="center"/>
          </w:tcPr>
          <w:p>
            <w:pPr>
              <w:pStyle w:val="0"/>
              <w:jc w:val="center"/>
            </w:pPr>
            <w:r>
              <w:rPr>
                <w:sz w:val="20"/>
              </w:rPr>
              <w:t xml:space="preserve">55</w:t>
            </w:r>
          </w:p>
        </w:tc>
        <w:tc>
          <w:tcPr>
            <w:tcW w:w="844" w:type="dxa"/>
            <w:vAlign w:val="center"/>
          </w:tcPr>
          <w:p>
            <w:pPr>
              <w:pStyle w:val="0"/>
              <w:jc w:val="center"/>
            </w:pPr>
            <w:r>
              <w:rPr>
                <w:sz w:val="20"/>
              </w:rPr>
              <w:t xml:space="preserve">57</w:t>
            </w:r>
          </w:p>
        </w:tc>
      </w:tr>
      <w:tr>
        <w:tc>
          <w:tcPr>
            <w:tcW w:w="544" w:type="dxa"/>
            <w:vAlign w:val="center"/>
          </w:tcPr>
          <w:p>
            <w:pPr>
              <w:pStyle w:val="0"/>
              <w:jc w:val="center"/>
            </w:pPr>
            <w:r>
              <w:rPr>
                <w:sz w:val="20"/>
              </w:rPr>
              <w:t xml:space="preserve">6</w:t>
            </w:r>
          </w:p>
        </w:tc>
        <w:tc>
          <w:tcPr>
            <w:tcW w:w="2359" w:type="dxa"/>
            <w:vAlign w:val="center"/>
          </w:tcPr>
          <w:p>
            <w:pPr>
              <w:pStyle w:val="0"/>
              <w:jc w:val="center"/>
            </w:pPr>
            <w:r>
              <w:rPr>
                <w:sz w:val="20"/>
              </w:rPr>
              <w:t xml:space="preserve">Подпрограмма 5 "Любительское рыболовство и охрана водных биоресурсов"</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Средний вылов одного рыболова за один выезд, кг</w:t>
            </w:r>
          </w:p>
        </w:tc>
        <w:tc>
          <w:tcPr>
            <w:tcW w:w="1144" w:type="dxa"/>
            <w:vAlign w:val="center"/>
          </w:tcPr>
          <w:p>
            <w:pPr>
              <w:pStyle w:val="0"/>
              <w:jc w:val="center"/>
            </w:pPr>
            <w:r>
              <w:rPr>
                <w:sz w:val="20"/>
              </w:rPr>
              <w:t xml:space="preserve">3,22</w:t>
            </w:r>
          </w:p>
        </w:tc>
        <w:tc>
          <w:tcPr>
            <w:tcW w:w="1024" w:type="dxa"/>
            <w:vAlign w:val="center"/>
          </w:tcPr>
          <w:p>
            <w:pPr>
              <w:pStyle w:val="0"/>
              <w:jc w:val="center"/>
            </w:pPr>
            <w:r>
              <w:rPr>
                <w:sz w:val="20"/>
              </w:rPr>
              <w:t xml:space="preserve">3,25</w:t>
            </w:r>
          </w:p>
        </w:tc>
        <w:tc>
          <w:tcPr>
            <w:tcW w:w="1024" w:type="dxa"/>
            <w:vAlign w:val="center"/>
          </w:tcPr>
          <w:p>
            <w:pPr>
              <w:pStyle w:val="0"/>
              <w:jc w:val="center"/>
            </w:pPr>
            <w:r>
              <w:rPr>
                <w:sz w:val="20"/>
              </w:rPr>
              <w:t xml:space="preserve">3,28</w:t>
            </w:r>
          </w:p>
        </w:tc>
        <w:tc>
          <w:tcPr>
            <w:tcW w:w="844" w:type="dxa"/>
            <w:vAlign w:val="center"/>
          </w:tcPr>
          <w:p>
            <w:pPr>
              <w:pStyle w:val="0"/>
              <w:jc w:val="center"/>
            </w:pPr>
            <w:r>
              <w:rPr>
                <w:sz w:val="20"/>
              </w:rPr>
              <w:t xml:space="preserve">3,31</w:t>
            </w:r>
          </w:p>
        </w:tc>
        <w:tc>
          <w:tcPr>
            <w:tcW w:w="844" w:type="dxa"/>
            <w:vAlign w:val="center"/>
          </w:tcPr>
          <w:p>
            <w:pPr>
              <w:pStyle w:val="0"/>
              <w:jc w:val="center"/>
            </w:pPr>
            <w:r>
              <w:rPr>
                <w:sz w:val="20"/>
              </w:rPr>
              <w:t xml:space="preserve">3,34</w:t>
            </w:r>
          </w:p>
        </w:tc>
        <w:tc>
          <w:tcPr>
            <w:tcW w:w="844" w:type="dxa"/>
            <w:vAlign w:val="center"/>
          </w:tcPr>
          <w:p>
            <w:pPr>
              <w:pStyle w:val="0"/>
              <w:jc w:val="center"/>
            </w:pPr>
            <w:r>
              <w:rPr>
                <w:sz w:val="20"/>
              </w:rPr>
              <w:t xml:space="preserve">3,35</w:t>
            </w:r>
          </w:p>
        </w:tc>
        <w:tc>
          <w:tcPr>
            <w:tcW w:w="844" w:type="dxa"/>
            <w:vAlign w:val="center"/>
          </w:tcPr>
          <w:p>
            <w:pPr>
              <w:pStyle w:val="0"/>
              <w:jc w:val="center"/>
            </w:pPr>
            <w:r>
              <w:rPr>
                <w:sz w:val="20"/>
              </w:rPr>
              <w:t xml:space="preserve">3,36</w:t>
            </w:r>
          </w:p>
        </w:tc>
      </w:tr>
      <w:tr>
        <w:tc>
          <w:tcPr>
            <w:tcW w:w="544" w:type="dxa"/>
            <w:vAlign w:val="center"/>
          </w:tcPr>
          <w:p>
            <w:pPr>
              <w:pStyle w:val="0"/>
              <w:jc w:val="center"/>
            </w:pPr>
            <w:r>
              <w:rPr>
                <w:sz w:val="20"/>
              </w:rPr>
              <w:t xml:space="preserve">6.1</w:t>
            </w:r>
          </w:p>
        </w:tc>
        <w:tc>
          <w:tcPr>
            <w:tcW w:w="2359" w:type="dxa"/>
            <w:vAlign w:val="center"/>
          </w:tcPr>
          <w:p>
            <w:pPr>
              <w:pStyle w:val="0"/>
              <w:jc w:val="center"/>
            </w:pPr>
            <w:r>
              <w:rPr>
                <w:sz w:val="20"/>
              </w:rPr>
              <w:t xml:space="preserve">Основное мероприятие 5.1 "Организация, регулирование и охрана водных биологических ресурсов на территории Белгородской области"</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5.1.1. Доля проведенных рыбохозяйственных мероприятий от установленного перечня рыбохозяйственных мероприятий, проводимых за счет субвенций, процентов</w:t>
            </w:r>
          </w:p>
        </w:tc>
        <w:tc>
          <w:tcPr>
            <w:tcW w:w="1144" w:type="dxa"/>
            <w:vAlign w:val="center"/>
          </w:tcPr>
          <w:p>
            <w:pPr>
              <w:pStyle w:val="0"/>
              <w:jc w:val="center"/>
            </w:pPr>
            <w:r>
              <w:rPr>
                <w:sz w:val="20"/>
              </w:rPr>
              <w:t xml:space="preserve">9,1</w:t>
            </w:r>
          </w:p>
        </w:tc>
        <w:tc>
          <w:tcPr>
            <w:tcW w:w="1024" w:type="dxa"/>
            <w:vAlign w:val="center"/>
          </w:tcPr>
          <w:p>
            <w:pPr>
              <w:pStyle w:val="0"/>
              <w:jc w:val="center"/>
            </w:pPr>
            <w:r>
              <w:rPr>
                <w:sz w:val="20"/>
              </w:rPr>
              <w:t xml:space="preserve">9,1</w:t>
            </w:r>
          </w:p>
        </w:tc>
        <w:tc>
          <w:tcPr>
            <w:tcW w:w="1024" w:type="dxa"/>
            <w:vAlign w:val="center"/>
          </w:tcPr>
          <w:p>
            <w:pPr>
              <w:pStyle w:val="0"/>
              <w:jc w:val="center"/>
            </w:pPr>
            <w:r>
              <w:rPr>
                <w:sz w:val="20"/>
              </w:rPr>
              <w:t xml:space="preserve">9,1</w:t>
            </w:r>
          </w:p>
        </w:tc>
        <w:tc>
          <w:tcPr>
            <w:tcW w:w="844" w:type="dxa"/>
            <w:vAlign w:val="center"/>
          </w:tcPr>
          <w:p>
            <w:pPr>
              <w:pStyle w:val="0"/>
              <w:jc w:val="center"/>
            </w:pPr>
            <w:r>
              <w:rPr>
                <w:sz w:val="20"/>
              </w:rPr>
              <w:t xml:space="preserve">9,1</w:t>
            </w:r>
          </w:p>
        </w:tc>
        <w:tc>
          <w:tcPr>
            <w:tcW w:w="844" w:type="dxa"/>
            <w:vAlign w:val="center"/>
          </w:tcPr>
          <w:p>
            <w:pPr>
              <w:pStyle w:val="0"/>
              <w:jc w:val="center"/>
            </w:pPr>
            <w:r>
              <w:rPr>
                <w:sz w:val="20"/>
              </w:rPr>
              <w:t xml:space="preserve">9,1</w:t>
            </w:r>
          </w:p>
        </w:tc>
        <w:tc>
          <w:tcPr>
            <w:tcW w:w="844" w:type="dxa"/>
            <w:vAlign w:val="center"/>
          </w:tcPr>
          <w:p>
            <w:pPr>
              <w:pStyle w:val="0"/>
              <w:jc w:val="center"/>
            </w:pPr>
            <w:r>
              <w:rPr>
                <w:sz w:val="20"/>
              </w:rPr>
              <w:t xml:space="preserve">9,1</w:t>
            </w:r>
          </w:p>
        </w:tc>
        <w:tc>
          <w:tcPr>
            <w:tcW w:w="844" w:type="dxa"/>
            <w:vAlign w:val="center"/>
          </w:tcPr>
          <w:p>
            <w:pPr>
              <w:pStyle w:val="0"/>
              <w:jc w:val="center"/>
            </w:pPr>
            <w:r>
              <w:rPr>
                <w:sz w:val="20"/>
              </w:rPr>
              <w:t xml:space="preserve">9,1</w:t>
            </w:r>
          </w:p>
        </w:tc>
      </w:tr>
      <w:tr>
        <w:tc>
          <w:tcPr>
            <w:tcW w:w="544" w:type="dxa"/>
            <w:vAlign w:val="center"/>
          </w:tcPr>
          <w:p>
            <w:pPr>
              <w:pStyle w:val="0"/>
              <w:jc w:val="center"/>
            </w:pPr>
            <w:r>
              <w:rPr>
                <w:sz w:val="20"/>
              </w:rPr>
              <w:t xml:space="preserve">6.2</w:t>
            </w:r>
          </w:p>
        </w:tc>
        <w:tc>
          <w:tcPr>
            <w:tcW w:w="2359" w:type="dxa"/>
            <w:vAlign w:val="center"/>
          </w:tcPr>
          <w:p>
            <w:pPr>
              <w:pStyle w:val="0"/>
              <w:jc w:val="center"/>
            </w:pPr>
            <w:r>
              <w:rPr>
                <w:sz w:val="20"/>
              </w:rPr>
              <w:t xml:space="preserve">Основное мероприятие 5.2 "Поддержка любительского рыболовства и охрана водных биоресурсов на территории Белгородской области"</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5.2.1. Площадь водных объектов для проведения государственного мониторинга состояния водных биологических ресурсов, га</w:t>
            </w:r>
          </w:p>
        </w:tc>
        <w:tc>
          <w:tcPr>
            <w:tcW w:w="1144" w:type="dxa"/>
            <w:vAlign w:val="center"/>
          </w:tcPr>
          <w:p>
            <w:pPr>
              <w:pStyle w:val="0"/>
              <w:jc w:val="center"/>
            </w:pPr>
            <w:r>
              <w:rPr>
                <w:sz w:val="20"/>
              </w:rPr>
              <w:t xml:space="preserve">0,12</w:t>
            </w:r>
          </w:p>
        </w:tc>
        <w:tc>
          <w:tcPr>
            <w:tcW w:w="1024" w:type="dxa"/>
            <w:vAlign w:val="center"/>
          </w:tcPr>
          <w:p>
            <w:pPr>
              <w:pStyle w:val="0"/>
              <w:jc w:val="center"/>
            </w:pPr>
            <w:r>
              <w:rPr>
                <w:sz w:val="20"/>
              </w:rPr>
              <w:t xml:space="preserve">0,12</w:t>
            </w:r>
          </w:p>
        </w:tc>
        <w:tc>
          <w:tcPr>
            <w:tcW w:w="102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r>
      <w:tr>
        <w:tc>
          <w:tcPr>
            <w:tcW w:w="544" w:type="dxa"/>
            <w:vAlign w:val="center"/>
          </w:tcPr>
          <w:p>
            <w:pPr>
              <w:pStyle w:val="0"/>
              <w:jc w:val="center"/>
            </w:pPr>
            <w:r>
              <w:rPr>
                <w:sz w:val="20"/>
              </w:rPr>
              <w:t xml:space="preserve">7</w:t>
            </w:r>
          </w:p>
        </w:tc>
        <w:tc>
          <w:tcPr>
            <w:tcW w:w="2359" w:type="dxa"/>
            <w:vAlign w:val="center"/>
          </w:tcPr>
          <w:p>
            <w:pPr>
              <w:pStyle w:val="0"/>
              <w:jc w:val="center"/>
            </w:pPr>
            <w:r>
              <w:rPr>
                <w:sz w:val="20"/>
              </w:rPr>
              <w:t xml:space="preserve">Подпрограмма 6 "Обеспечение реализации государственной программы"</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Уровень достижения показателей государственной программы, процентов</w:t>
            </w:r>
          </w:p>
        </w:tc>
        <w:tc>
          <w:tcPr>
            <w:tcW w:w="1144" w:type="dxa"/>
            <w:vAlign w:val="center"/>
          </w:tcPr>
          <w:p>
            <w:pPr>
              <w:pStyle w:val="0"/>
              <w:jc w:val="center"/>
            </w:pPr>
            <w:r>
              <w:rPr>
                <w:sz w:val="20"/>
              </w:rPr>
              <w:t xml:space="preserve">95</w:t>
            </w:r>
          </w:p>
        </w:tc>
        <w:tc>
          <w:tcPr>
            <w:tcW w:w="1024" w:type="dxa"/>
            <w:vAlign w:val="center"/>
          </w:tcPr>
          <w:p>
            <w:pPr>
              <w:pStyle w:val="0"/>
              <w:jc w:val="center"/>
            </w:pPr>
            <w:r>
              <w:rPr>
                <w:sz w:val="20"/>
              </w:rPr>
              <w:t xml:space="preserve">95</w:t>
            </w:r>
          </w:p>
        </w:tc>
        <w:tc>
          <w:tcPr>
            <w:tcW w:w="102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r>
      <w:tr>
        <w:tc>
          <w:tcPr>
            <w:tcW w:w="544" w:type="dxa"/>
            <w:vAlign w:val="center"/>
          </w:tcPr>
          <w:p>
            <w:pPr>
              <w:pStyle w:val="0"/>
              <w:jc w:val="center"/>
            </w:pPr>
            <w:r>
              <w:rPr>
                <w:sz w:val="20"/>
              </w:rPr>
              <w:t xml:space="preserve">7.1</w:t>
            </w:r>
          </w:p>
        </w:tc>
        <w:tc>
          <w:tcPr>
            <w:tcW w:w="2359" w:type="dxa"/>
            <w:vAlign w:val="center"/>
          </w:tcPr>
          <w:p>
            <w:pPr>
              <w:pStyle w:val="0"/>
              <w:jc w:val="center"/>
            </w:pPr>
            <w:r>
              <w:rPr>
                <w:sz w:val="20"/>
              </w:rPr>
              <w:t xml:space="preserve">Основное мероприятие 6.1 "Обеспечение функций органов власти Белгородской области, в том числе территориальных органов"</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 департамент строительства и транспорта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6.1.1. Уровень достижения показателей подпрограмм 2, 3, 4, 5, 6 государственной программы, процентов</w:t>
            </w:r>
          </w:p>
        </w:tc>
        <w:tc>
          <w:tcPr>
            <w:tcW w:w="1144" w:type="dxa"/>
            <w:vAlign w:val="center"/>
          </w:tcPr>
          <w:p>
            <w:pPr>
              <w:pStyle w:val="0"/>
              <w:jc w:val="center"/>
            </w:pPr>
            <w:r>
              <w:rPr>
                <w:sz w:val="20"/>
              </w:rPr>
              <w:t xml:space="preserve">95</w:t>
            </w:r>
          </w:p>
        </w:tc>
        <w:tc>
          <w:tcPr>
            <w:tcW w:w="1024" w:type="dxa"/>
            <w:vAlign w:val="center"/>
          </w:tcPr>
          <w:p>
            <w:pPr>
              <w:pStyle w:val="0"/>
              <w:jc w:val="center"/>
            </w:pPr>
            <w:r>
              <w:rPr>
                <w:sz w:val="20"/>
              </w:rPr>
              <w:t xml:space="preserve">95</w:t>
            </w:r>
          </w:p>
        </w:tc>
        <w:tc>
          <w:tcPr>
            <w:tcW w:w="102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r>
      <w:tr>
        <w:tc>
          <w:tcPr>
            <w:tcW w:w="544" w:type="dxa"/>
            <w:vAlign w:val="center"/>
          </w:tcPr>
          <w:p>
            <w:pPr>
              <w:pStyle w:val="0"/>
              <w:jc w:val="center"/>
            </w:pPr>
            <w:r>
              <w:rPr>
                <w:sz w:val="20"/>
              </w:rPr>
              <w:t xml:space="preserve">7.2</w:t>
            </w:r>
          </w:p>
        </w:tc>
        <w:tc>
          <w:tcPr>
            <w:tcW w:w="2359" w:type="dxa"/>
            <w:vAlign w:val="center"/>
          </w:tcPr>
          <w:p>
            <w:pPr>
              <w:pStyle w:val="0"/>
              <w:jc w:val="center"/>
            </w:pPr>
            <w:r>
              <w:rPr>
                <w:sz w:val="20"/>
              </w:rPr>
              <w:t xml:space="preserve">Основное мероприятие 6.2 "Субвенции на осуществление отдельных государственных полномочий по рассмотрению дел об административных правонарушениях"</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1384" w:type="dxa"/>
            <w:vAlign w:val="center"/>
          </w:tcPr>
          <w:p>
            <w:pPr>
              <w:pStyle w:val="0"/>
              <w:jc w:val="center"/>
            </w:pPr>
            <w:r>
              <w:rPr>
                <w:sz w:val="20"/>
              </w:rPr>
              <w:t xml:space="preserve">2014 - 2025</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6.2.1. Уровень взыскаемости дел об административных правонарушениях, процентов</w:t>
            </w:r>
          </w:p>
        </w:tc>
        <w:tc>
          <w:tcPr>
            <w:tcW w:w="1144" w:type="dxa"/>
            <w:vAlign w:val="center"/>
          </w:tcPr>
          <w:p>
            <w:pPr>
              <w:pStyle w:val="0"/>
              <w:jc w:val="center"/>
            </w:pPr>
            <w:r>
              <w:rPr>
                <w:sz w:val="20"/>
              </w:rPr>
              <w:t xml:space="preserve">55</w:t>
            </w:r>
          </w:p>
        </w:tc>
        <w:tc>
          <w:tcPr>
            <w:tcW w:w="1024" w:type="dxa"/>
            <w:vAlign w:val="center"/>
          </w:tcPr>
          <w:p>
            <w:pPr>
              <w:pStyle w:val="0"/>
              <w:jc w:val="center"/>
            </w:pPr>
            <w:r>
              <w:rPr>
                <w:sz w:val="20"/>
              </w:rPr>
              <w:t xml:space="preserve">56</w:t>
            </w:r>
          </w:p>
        </w:tc>
        <w:tc>
          <w:tcPr>
            <w:tcW w:w="1024" w:type="dxa"/>
            <w:vAlign w:val="center"/>
          </w:tcPr>
          <w:p>
            <w:pPr>
              <w:pStyle w:val="0"/>
              <w:jc w:val="center"/>
            </w:pPr>
            <w:r>
              <w:rPr>
                <w:sz w:val="20"/>
              </w:rPr>
              <w:t xml:space="preserve">57</w:t>
            </w:r>
          </w:p>
        </w:tc>
        <w:tc>
          <w:tcPr>
            <w:tcW w:w="844" w:type="dxa"/>
            <w:vAlign w:val="center"/>
          </w:tcPr>
          <w:p>
            <w:pPr>
              <w:pStyle w:val="0"/>
              <w:jc w:val="center"/>
            </w:pPr>
            <w:r>
              <w:rPr>
                <w:sz w:val="20"/>
              </w:rPr>
              <w:t xml:space="preserve">58</w:t>
            </w:r>
          </w:p>
        </w:tc>
        <w:tc>
          <w:tcPr>
            <w:tcW w:w="844" w:type="dxa"/>
            <w:vAlign w:val="center"/>
          </w:tcPr>
          <w:p>
            <w:pPr>
              <w:pStyle w:val="0"/>
              <w:jc w:val="center"/>
            </w:pPr>
            <w:r>
              <w:rPr>
                <w:sz w:val="20"/>
              </w:rPr>
              <w:t xml:space="preserve">60</w:t>
            </w:r>
          </w:p>
        </w:tc>
        <w:tc>
          <w:tcPr>
            <w:tcW w:w="844" w:type="dxa"/>
            <w:vAlign w:val="center"/>
          </w:tcPr>
          <w:p>
            <w:pPr>
              <w:pStyle w:val="0"/>
              <w:jc w:val="center"/>
            </w:pPr>
            <w:r>
              <w:rPr>
                <w:sz w:val="20"/>
              </w:rPr>
              <w:t xml:space="preserve">65</w:t>
            </w:r>
          </w:p>
        </w:tc>
        <w:tc>
          <w:tcPr>
            <w:tcW w:w="844" w:type="dxa"/>
            <w:vAlign w:val="center"/>
          </w:tcPr>
          <w:p>
            <w:pPr>
              <w:pStyle w:val="0"/>
              <w:jc w:val="center"/>
            </w:pPr>
            <w:r>
              <w:rPr>
                <w:sz w:val="20"/>
              </w:rPr>
              <w:t xml:space="preserve">70</w:t>
            </w:r>
          </w:p>
        </w:tc>
      </w:tr>
      <w:tr>
        <w:tc>
          <w:tcPr>
            <w:tcW w:w="544" w:type="dxa"/>
            <w:vAlign w:val="center"/>
            <w:vMerge w:val="restart"/>
          </w:tcPr>
          <w:p>
            <w:pPr>
              <w:pStyle w:val="0"/>
              <w:jc w:val="center"/>
            </w:pPr>
            <w:r>
              <w:rPr>
                <w:sz w:val="20"/>
              </w:rPr>
              <w:t xml:space="preserve">8</w:t>
            </w:r>
          </w:p>
        </w:tc>
        <w:tc>
          <w:tcPr>
            <w:tcW w:w="2359" w:type="dxa"/>
            <w:vAlign w:val="center"/>
            <w:vMerge w:val="restart"/>
          </w:tcPr>
          <w:p>
            <w:pPr>
              <w:pStyle w:val="0"/>
              <w:jc w:val="center"/>
            </w:pPr>
            <w:r>
              <w:rPr>
                <w:sz w:val="20"/>
              </w:rPr>
              <w:t xml:space="preserve">Подпрограмма 7 "Обращение с твердыми коммунальными отходами на территории Белгородской области"</w:t>
            </w:r>
          </w:p>
        </w:tc>
        <w:tc>
          <w:tcPr>
            <w:tcW w:w="2749" w:type="dxa"/>
            <w:vAlign w:val="center"/>
            <w:vMerge w:val="restart"/>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2018</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обработанных твердых коммунальных отходов в общем объеме твердых коммунальных отходов,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8,1</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1384" w:type="dxa"/>
            <w:vAlign w:val="center"/>
          </w:tcPr>
          <w:p>
            <w:pPr>
              <w:pStyle w:val="0"/>
              <w:jc w:val="center"/>
            </w:pPr>
            <w:r>
              <w:rPr>
                <w:sz w:val="20"/>
              </w:rPr>
              <w:t xml:space="preserve">2019 - 2024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охвата потребителей услугой по обращению с твердыми коммунальными отходами,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83</w:t>
            </w:r>
          </w:p>
        </w:tc>
        <w:tc>
          <w:tcPr>
            <w:tcW w:w="844" w:type="dxa"/>
            <w:vAlign w:val="center"/>
          </w:tcPr>
          <w:p>
            <w:pPr>
              <w:pStyle w:val="0"/>
              <w:jc w:val="center"/>
            </w:pPr>
            <w:r>
              <w:rPr>
                <w:sz w:val="20"/>
              </w:rPr>
              <w:t xml:space="preserve">90</w:t>
            </w:r>
          </w:p>
        </w:tc>
      </w:tr>
      <w:tr>
        <w:tc>
          <w:tcPr>
            <w:tcW w:w="544" w:type="dxa"/>
            <w:vAlign w:val="center"/>
          </w:tcPr>
          <w:p>
            <w:pPr>
              <w:pStyle w:val="0"/>
              <w:jc w:val="center"/>
            </w:pPr>
            <w:r>
              <w:rPr>
                <w:sz w:val="20"/>
              </w:rPr>
              <w:t xml:space="preserve">8.1</w:t>
            </w:r>
          </w:p>
        </w:tc>
        <w:tc>
          <w:tcPr>
            <w:tcW w:w="2359" w:type="dxa"/>
            <w:vAlign w:val="center"/>
          </w:tcPr>
          <w:p>
            <w:pPr>
              <w:pStyle w:val="0"/>
              <w:jc w:val="center"/>
            </w:pPr>
            <w:r>
              <w:rPr>
                <w:sz w:val="20"/>
              </w:rPr>
              <w:t xml:space="preserve">Основное мероприятие 7.1 "Создание эффективных механизмов управления в отрасли обращения с твердыми коммунальными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2018 - 2024</w:t>
            </w: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Показатель 7.1.1. Доля твердых коммунальных отходов, направляемых на захоронение, в общем объеме твердых коммунальных отходов,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96</w:t>
            </w:r>
          </w:p>
        </w:tc>
        <w:tc>
          <w:tcPr>
            <w:tcW w:w="844" w:type="dxa"/>
            <w:vAlign w:val="center"/>
          </w:tcPr>
          <w:p>
            <w:pPr>
              <w:pStyle w:val="0"/>
              <w:jc w:val="center"/>
            </w:pPr>
            <w:r>
              <w:rPr>
                <w:sz w:val="20"/>
              </w:rPr>
              <w:t xml:space="preserve">93,90</w:t>
            </w:r>
          </w:p>
        </w:tc>
        <w:tc>
          <w:tcPr>
            <w:tcW w:w="844" w:type="dxa"/>
            <w:vAlign w:val="center"/>
          </w:tcPr>
          <w:p>
            <w:pPr>
              <w:pStyle w:val="0"/>
              <w:jc w:val="center"/>
            </w:pPr>
            <w:r>
              <w:rPr>
                <w:sz w:val="20"/>
              </w:rPr>
              <w:t xml:space="preserve">97,62</w:t>
            </w:r>
          </w:p>
        </w:tc>
      </w:tr>
      <w:tr>
        <w:tc>
          <w:tcPr>
            <w:tcW w:w="544" w:type="dxa"/>
            <w:vAlign w:val="center"/>
          </w:tcPr>
          <w:p>
            <w:pPr>
              <w:pStyle w:val="0"/>
              <w:jc w:val="center"/>
            </w:pPr>
            <w:r>
              <w:rPr>
                <w:sz w:val="20"/>
              </w:rPr>
              <w:t xml:space="preserve">8.2</w:t>
            </w:r>
          </w:p>
        </w:tc>
        <w:tc>
          <w:tcPr>
            <w:tcW w:w="2359" w:type="dxa"/>
            <w:vAlign w:val="center"/>
          </w:tcPr>
          <w:p>
            <w:pPr>
              <w:pStyle w:val="0"/>
              <w:jc w:val="center"/>
            </w:pPr>
            <w:r>
              <w:rPr>
                <w:sz w:val="20"/>
              </w:rPr>
              <w:t xml:space="preserve">Мероприятие 7.1.2 "Организация весового контроля на объектах размещения отходов (полигонах) Белгородской области"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объектов размещения твердых коммунальных отходов, имеющих систему весового контроля,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13</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8.3</w:t>
            </w:r>
          </w:p>
        </w:tc>
        <w:tc>
          <w:tcPr>
            <w:tcW w:w="2359" w:type="dxa"/>
            <w:vAlign w:val="center"/>
          </w:tcPr>
          <w:p>
            <w:pPr>
              <w:pStyle w:val="0"/>
              <w:jc w:val="center"/>
            </w:pPr>
            <w:r>
              <w:rPr>
                <w:sz w:val="20"/>
              </w:rPr>
              <w:t xml:space="preserve">Мероприятие 7.1.3 "Строительство объектов обработки твердых коммунальных отходов"</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2019 - 2020</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построенных объектов обработки твердых коммунальных отходов,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t xml:space="preserve">2</w:t>
            </w:r>
          </w:p>
        </w:tc>
      </w:tr>
      <w:tr>
        <w:tc>
          <w:tcPr>
            <w:tcW w:w="544" w:type="dxa"/>
            <w:vAlign w:val="center"/>
          </w:tcPr>
          <w:p>
            <w:pPr>
              <w:pStyle w:val="0"/>
              <w:jc w:val="center"/>
            </w:pPr>
            <w:r>
              <w:rPr>
                <w:sz w:val="20"/>
              </w:rPr>
              <w:t xml:space="preserve">8.4</w:t>
            </w:r>
          </w:p>
        </w:tc>
        <w:tc>
          <w:tcPr>
            <w:tcW w:w="2359" w:type="dxa"/>
            <w:vAlign w:val="center"/>
          </w:tcPr>
          <w:p>
            <w:pPr>
              <w:pStyle w:val="0"/>
              <w:jc w:val="center"/>
            </w:pPr>
            <w:r>
              <w:rPr>
                <w:sz w:val="20"/>
              </w:rPr>
              <w:t xml:space="preserve">Мероприятие 7.1.4 "Строительство мусороперегрузочных станций"</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построенных мусороперегрузочных станций,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8.5</w:t>
            </w:r>
          </w:p>
        </w:tc>
        <w:tc>
          <w:tcPr>
            <w:tcW w:w="2359" w:type="dxa"/>
            <w:vAlign w:val="center"/>
          </w:tcPr>
          <w:p>
            <w:pPr>
              <w:pStyle w:val="0"/>
              <w:jc w:val="center"/>
            </w:pPr>
            <w:r>
              <w:rPr>
                <w:sz w:val="20"/>
              </w:rPr>
              <w:t xml:space="preserve">Мероприятие 7.1.5 "Создание пунктов приема вторичного сырья от населения на территории муниципальных образований Белгородской области"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2018 - 2019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созданных пунктов приема вторичного сырья от населения на территории муниципальных образований Белгородской области,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52</w:t>
            </w:r>
          </w:p>
        </w:tc>
        <w:tc>
          <w:tcPr>
            <w:tcW w:w="844" w:type="dxa"/>
            <w:vAlign w:val="center"/>
          </w:tcPr>
          <w:p>
            <w:pPr>
              <w:pStyle w:val="0"/>
              <w:jc w:val="center"/>
            </w:pPr>
            <w:r>
              <w:rPr>
                <w:sz w:val="20"/>
              </w:rPr>
              <w:t xml:space="preserve">26</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8.6</w:t>
            </w:r>
          </w:p>
        </w:tc>
        <w:tc>
          <w:tcPr>
            <w:tcW w:w="2359" w:type="dxa"/>
            <w:vAlign w:val="center"/>
          </w:tcPr>
          <w:p>
            <w:pPr>
              <w:pStyle w:val="0"/>
              <w:jc w:val="center"/>
            </w:pPr>
            <w:r>
              <w:rPr>
                <w:sz w:val="20"/>
              </w:rPr>
              <w:t xml:space="preserve">Мероприятие 7.1.6 "Организация информирования граждан о формировании новой системы обращения с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публикаций в средствах массовой информации о формировании новой системы обращения с отходами,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60</w:t>
            </w:r>
          </w:p>
        </w:tc>
        <w:tc>
          <w:tcPr>
            <w:tcW w:w="844" w:type="dxa"/>
            <w:vAlign w:val="center"/>
          </w:tcPr>
          <w:p>
            <w:pPr>
              <w:pStyle w:val="0"/>
              <w:jc w:val="center"/>
            </w:pPr>
            <w:r>
              <w:rPr>
                <w:sz w:val="20"/>
              </w:rPr>
              <w:t xml:space="preserve">60</w:t>
            </w:r>
          </w:p>
        </w:tc>
      </w:tr>
      <w:tr>
        <w:tc>
          <w:tcPr>
            <w:tcW w:w="544" w:type="dxa"/>
            <w:vAlign w:val="center"/>
          </w:tcPr>
          <w:p>
            <w:pPr>
              <w:pStyle w:val="0"/>
              <w:jc w:val="center"/>
            </w:pPr>
            <w:r>
              <w:rPr>
                <w:sz w:val="20"/>
              </w:rPr>
              <w:t xml:space="preserve">8.7</w:t>
            </w:r>
          </w:p>
        </w:tc>
        <w:tc>
          <w:tcPr>
            <w:tcW w:w="2359" w:type="dxa"/>
            <w:vAlign w:val="center"/>
          </w:tcPr>
          <w:p>
            <w:pPr>
              <w:pStyle w:val="0"/>
              <w:jc w:val="center"/>
            </w:pPr>
            <w:r>
              <w:rPr>
                <w:sz w:val="20"/>
              </w:rPr>
              <w:t xml:space="preserve">Мероприятие 7.1.7 "Разработка проектно-сметной документации на строительство объектов размещения твердых коммунальных отходов"</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2019 - 2020</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разработанной проектно-сметной документации,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t xml:space="preserve">1</w:t>
            </w:r>
          </w:p>
        </w:tc>
      </w:tr>
      <w:tr>
        <w:tc>
          <w:tcPr>
            <w:tcW w:w="544" w:type="dxa"/>
            <w:vAlign w:val="center"/>
          </w:tcPr>
          <w:p>
            <w:pPr>
              <w:pStyle w:val="0"/>
              <w:jc w:val="center"/>
            </w:pPr>
            <w:r>
              <w:rPr>
                <w:sz w:val="20"/>
              </w:rPr>
              <w:t xml:space="preserve">8.8</w:t>
            </w:r>
          </w:p>
        </w:tc>
        <w:tc>
          <w:tcPr>
            <w:tcW w:w="2359" w:type="dxa"/>
            <w:vAlign w:val="center"/>
          </w:tcPr>
          <w:p>
            <w:pPr>
              <w:pStyle w:val="0"/>
              <w:jc w:val="center"/>
            </w:pPr>
            <w:r>
              <w:rPr>
                <w:sz w:val="20"/>
              </w:rPr>
              <w:t xml:space="preserve">Мероприятие 7.1.8 "Модернизация объектов обращения с твердыми коммунальными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2020</w:t>
            </w:r>
          </w:p>
        </w:tc>
        <w:tc>
          <w:tcPr>
            <w:tcW w:w="1191"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Объем отходов на объекте размещения отходов, %</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40</w:t>
            </w:r>
          </w:p>
        </w:tc>
      </w:tr>
      <w:tr>
        <w:tc>
          <w:tcPr>
            <w:tcW w:w="544" w:type="dxa"/>
            <w:vAlign w:val="center"/>
          </w:tcPr>
          <w:p>
            <w:pPr>
              <w:pStyle w:val="0"/>
              <w:jc w:val="center"/>
            </w:pPr>
            <w:r>
              <w:rPr>
                <w:sz w:val="20"/>
              </w:rPr>
              <w:t xml:space="preserve">8.9</w:t>
            </w:r>
          </w:p>
        </w:tc>
        <w:tc>
          <w:tcPr>
            <w:tcW w:w="2359" w:type="dxa"/>
            <w:vAlign w:val="center"/>
          </w:tcPr>
          <w:p>
            <w:pPr>
              <w:pStyle w:val="0"/>
              <w:jc w:val="center"/>
            </w:pPr>
            <w:r>
              <w:rPr>
                <w:sz w:val="20"/>
              </w:rPr>
              <w:t xml:space="preserve">Мероприятие 7.1.9 "Приобретение оборудования и иного движимого имущества, необходимых для осуществления мероприятий по модернизации объектов обращения с твердыми коммунальными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2020</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приобретенного оборудования,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w:t>
            </w:r>
          </w:p>
        </w:tc>
      </w:tr>
      <w:tr>
        <w:tc>
          <w:tcPr>
            <w:tcW w:w="544" w:type="dxa"/>
            <w:vAlign w:val="center"/>
          </w:tcPr>
          <w:p>
            <w:pPr>
              <w:pStyle w:val="0"/>
              <w:jc w:val="center"/>
            </w:pPr>
            <w:r>
              <w:rPr>
                <w:sz w:val="20"/>
              </w:rPr>
              <w:t xml:space="preserve">8.10</w:t>
            </w:r>
          </w:p>
        </w:tc>
        <w:tc>
          <w:tcPr>
            <w:tcW w:w="2359" w:type="dxa"/>
            <w:vAlign w:val="center"/>
          </w:tcPr>
          <w:p>
            <w:pPr>
              <w:pStyle w:val="0"/>
              <w:jc w:val="center"/>
            </w:pPr>
            <w:r>
              <w:rPr>
                <w:sz w:val="20"/>
              </w:rPr>
              <w:t xml:space="preserve">Основное мероприятие 7.2 "Разработка электронной модели территориальной схемы по обращению с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2018 - 2019</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7.2.1. Разработана электронная модель территориальной схемы по обращению с отходами,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8.11</w:t>
            </w:r>
          </w:p>
        </w:tc>
        <w:tc>
          <w:tcPr>
            <w:tcW w:w="2359" w:type="dxa"/>
            <w:vAlign w:val="center"/>
          </w:tcPr>
          <w:p>
            <w:pPr>
              <w:pStyle w:val="0"/>
              <w:jc w:val="center"/>
            </w:pPr>
            <w:r>
              <w:rPr>
                <w:sz w:val="20"/>
              </w:rPr>
              <w:t xml:space="preserve">Основное мероприятие 7.3 "Субсидии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2020 - 2021</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разработанной проектно-сметной документации,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w:t>
            </w:r>
          </w:p>
        </w:tc>
      </w:tr>
      <w:tr>
        <w:tc>
          <w:tcPr>
            <w:tcW w:w="544" w:type="dxa"/>
            <w:vAlign w:val="center"/>
          </w:tcPr>
          <w:p>
            <w:pPr>
              <w:pStyle w:val="0"/>
              <w:jc w:val="center"/>
            </w:pPr>
            <w:r>
              <w:rPr>
                <w:sz w:val="20"/>
              </w:rPr>
              <w:t xml:space="preserve">8.12</w:t>
            </w:r>
          </w:p>
        </w:tc>
        <w:tc>
          <w:tcPr>
            <w:tcW w:w="2359" w:type="dxa"/>
            <w:vAlign w:val="center"/>
          </w:tcPr>
          <w:p>
            <w:pPr>
              <w:pStyle w:val="0"/>
              <w:jc w:val="center"/>
            </w:pPr>
            <w:r>
              <w:rPr>
                <w:sz w:val="20"/>
              </w:rPr>
              <w:t xml:space="preserve">Проект 7.G1 "Чистая страна"</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Площадь ликвидированных (и/или рекультивированных) объектов накопленного вреда окружающей среде, га</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8.13</w:t>
            </w:r>
          </w:p>
        </w:tc>
        <w:tc>
          <w:tcPr>
            <w:tcW w:w="2359" w:type="dxa"/>
            <w:vAlign w:val="center"/>
          </w:tcPr>
          <w:p>
            <w:pPr>
              <w:pStyle w:val="0"/>
              <w:jc w:val="center"/>
            </w:pPr>
            <w:r>
              <w:rPr>
                <w:sz w:val="20"/>
              </w:rPr>
              <w:t xml:space="preserve">Проект 7.G2 "Комплексная система обращения с твердыми коммунальными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2019 - 2024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обработанных твердых коммунальных отходов в общем объеме твердых коммунальных отходов, процентов</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25,7</w:t>
            </w:r>
          </w:p>
        </w:tc>
      </w:tr>
      <w:tr>
        <w:tc>
          <w:tcPr>
            <w:tcW w:w="544" w:type="dxa"/>
            <w:vAlign w:val="center"/>
          </w:tcPr>
          <w:p>
            <w:pPr>
              <w:pStyle w:val="0"/>
              <w:jc w:val="center"/>
            </w:pPr>
            <w:r>
              <w:rPr>
                <w:sz w:val="20"/>
              </w:rPr>
              <w:t xml:space="preserve">8.14</w:t>
            </w:r>
          </w:p>
        </w:tc>
        <w:tc>
          <w:tcPr>
            <w:tcW w:w="2359" w:type="dxa"/>
            <w:vAlign w:val="center"/>
          </w:tcPr>
          <w:p>
            <w:pPr>
              <w:pStyle w:val="0"/>
              <w:jc w:val="center"/>
            </w:pPr>
            <w:r>
              <w:rPr>
                <w:sz w:val="20"/>
              </w:rPr>
              <w:t xml:space="preserve">Мероприятие 7.G2.1. Мероприятие "Обеспечение деятельности по оказанию коммунальной услуги населению по обращению с твердыми коммунальными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2020 - 2024</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населения, охваченного услугой по обращению с твердыми коммунальными отходами, процент</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90</w:t>
            </w:r>
          </w:p>
        </w:tc>
      </w:tr>
      <w:tr>
        <w:tc>
          <w:tcPr>
            <w:tcW w:w="544" w:type="dxa"/>
            <w:vAlign w:val="center"/>
          </w:tcPr>
          <w:p>
            <w:pPr>
              <w:pStyle w:val="0"/>
              <w:jc w:val="center"/>
            </w:pPr>
            <w:r>
              <w:rPr>
                <w:sz w:val="20"/>
              </w:rPr>
              <w:t xml:space="preserve">8.15</w:t>
            </w:r>
          </w:p>
        </w:tc>
        <w:tc>
          <w:tcPr>
            <w:tcW w:w="2359" w:type="dxa"/>
            <w:vAlign w:val="center"/>
          </w:tcPr>
          <w:p>
            <w:pPr>
              <w:pStyle w:val="0"/>
              <w:jc w:val="center"/>
            </w:pPr>
            <w:r>
              <w:rPr>
                <w:sz w:val="20"/>
              </w:rPr>
              <w:t xml:space="preserve">Мероприятие 7.G2.2. Мероприятия по закупке контейнеров для раздельного сбора твердых коммунальных отходов</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1384" w:type="dxa"/>
            <w:vAlign w:val="center"/>
          </w:tcPr>
          <w:p>
            <w:pPr>
              <w:pStyle w:val="0"/>
              <w:jc w:val="center"/>
            </w:pPr>
            <w:r>
              <w:rPr>
                <w:sz w:val="20"/>
              </w:rPr>
              <w:t xml:space="preserve">2020</w:t>
            </w:r>
          </w:p>
        </w:tc>
        <w:tc>
          <w:tcPr>
            <w:tcW w:w="1191"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обустроенных площадок для раздельного накопления ТКО, единиц</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10000</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jc w:val="center"/>
      </w:pPr>
      <w:r>
        <w:rPr>
          <w:sz w:val="20"/>
        </w:rPr>
      </w:r>
    </w:p>
    <w:p>
      <w:pPr>
        <w:pStyle w:val="2"/>
        <w:outlineLvl w:val="2"/>
        <w:jc w:val="center"/>
      </w:pPr>
      <w:r>
        <w:rPr>
          <w:sz w:val="20"/>
        </w:rPr>
        <w:t xml:space="preserve">Система основных мероприятий и показателей государственной</w:t>
      </w:r>
    </w:p>
    <w:p>
      <w:pPr>
        <w:pStyle w:val="2"/>
        <w:jc w:val="center"/>
      </w:pPr>
      <w:r>
        <w:rPr>
          <w:sz w:val="20"/>
        </w:rPr>
        <w:t xml:space="preserve">программы на 2 этапе реализации</w:t>
      </w:r>
    </w:p>
    <w:p>
      <w:pPr>
        <w:pStyle w:val="0"/>
        <w:jc w:val="center"/>
      </w:pPr>
      <w:r>
        <w:rPr>
          <w:sz w:val="20"/>
        </w:rPr>
        <w:t xml:space="preserve">(в ред. </w:t>
      </w:r>
      <w:hyperlink w:history="0" r:id="rId192"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center"/>
      </w:pPr>
      <w:r>
        <w:rPr>
          <w:sz w:val="20"/>
        </w:rPr>
      </w:r>
    </w:p>
    <w:p>
      <w:pPr>
        <w:pStyle w:val="0"/>
        <w:jc w:val="right"/>
      </w:pPr>
      <w:r>
        <w:rPr>
          <w:sz w:val="20"/>
        </w:rPr>
        <w:t xml:space="preserve">Таблица 2</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2359"/>
        <w:gridCol w:w="2041"/>
        <w:gridCol w:w="907"/>
        <w:gridCol w:w="964"/>
        <w:gridCol w:w="2539"/>
        <w:gridCol w:w="844"/>
        <w:gridCol w:w="844"/>
        <w:gridCol w:w="844"/>
        <w:gridCol w:w="844"/>
        <w:gridCol w:w="844"/>
      </w:tblGrid>
      <w:tr>
        <w:tc>
          <w:tcPr>
            <w:tcW w:w="544" w:type="dxa"/>
            <w:vMerge w:val="restart"/>
          </w:tcPr>
          <w:p>
            <w:pPr>
              <w:pStyle w:val="0"/>
              <w:jc w:val="center"/>
            </w:pPr>
            <w:r>
              <w:rPr>
                <w:sz w:val="20"/>
              </w:rPr>
              <w:t xml:space="preserve">N</w:t>
            </w:r>
          </w:p>
        </w:tc>
        <w:tc>
          <w:tcPr>
            <w:tcW w:w="2359" w:type="dxa"/>
            <w:vMerge w:val="restart"/>
          </w:tcPr>
          <w:p>
            <w:pPr>
              <w:pStyle w:val="0"/>
              <w:jc w:val="center"/>
            </w:pPr>
            <w:r>
              <w:rPr>
                <w:sz w:val="20"/>
              </w:rPr>
              <w:t xml:space="preserve">Наименование государственной программы, подпрограмм, мероприятий</w:t>
            </w:r>
          </w:p>
        </w:tc>
        <w:tc>
          <w:tcPr>
            <w:tcW w:w="2041"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907" w:type="dxa"/>
            <w:vMerge w:val="restart"/>
          </w:tcPr>
          <w:p>
            <w:pPr>
              <w:pStyle w:val="0"/>
              <w:jc w:val="center"/>
            </w:pPr>
            <w:r>
              <w:rPr>
                <w:sz w:val="20"/>
              </w:rPr>
              <w:t xml:space="preserve">Срок реализации (начало, завершение)</w:t>
            </w:r>
          </w:p>
        </w:tc>
        <w:tc>
          <w:tcPr>
            <w:tcW w:w="964" w:type="dxa"/>
            <w:vMerge w:val="restart"/>
          </w:tcPr>
          <w:p>
            <w:pPr>
              <w:pStyle w:val="0"/>
              <w:jc w:val="center"/>
            </w:pPr>
            <w:r>
              <w:rPr>
                <w:sz w:val="20"/>
              </w:rPr>
              <w:t xml:space="preserve">Вид показателя</w:t>
            </w:r>
          </w:p>
        </w:tc>
        <w:tc>
          <w:tcPr>
            <w:tcW w:w="2539" w:type="dxa"/>
            <w:vMerge w:val="restart"/>
          </w:tcPr>
          <w:p>
            <w:pPr>
              <w:pStyle w:val="0"/>
              <w:jc w:val="center"/>
            </w:pPr>
            <w:r>
              <w:rPr>
                <w:sz w:val="20"/>
              </w:rPr>
              <w:t xml:space="preserve">Наименование показателя, единица измерения</w:t>
            </w:r>
          </w:p>
        </w:tc>
        <w:tc>
          <w:tcPr>
            <w:gridSpan w:val="5"/>
            <w:tcW w:w="4220"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844" w:type="dxa"/>
          </w:tcPr>
          <w:p>
            <w:pPr>
              <w:pStyle w:val="0"/>
              <w:jc w:val="center"/>
            </w:pPr>
            <w:r>
              <w:rPr>
                <w:sz w:val="20"/>
              </w:rPr>
              <w:t xml:space="preserve">2021 год</w:t>
            </w:r>
          </w:p>
        </w:tc>
        <w:tc>
          <w:tcPr>
            <w:tcW w:w="844" w:type="dxa"/>
          </w:tcPr>
          <w:p>
            <w:pPr>
              <w:pStyle w:val="0"/>
              <w:jc w:val="center"/>
            </w:pPr>
            <w:r>
              <w:rPr>
                <w:sz w:val="20"/>
              </w:rPr>
              <w:t xml:space="preserve">2022 год</w:t>
            </w:r>
          </w:p>
        </w:tc>
        <w:tc>
          <w:tcPr>
            <w:tcW w:w="844" w:type="dxa"/>
          </w:tcPr>
          <w:p>
            <w:pPr>
              <w:pStyle w:val="0"/>
              <w:jc w:val="center"/>
            </w:pPr>
            <w:r>
              <w:rPr>
                <w:sz w:val="20"/>
              </w:rPr>
              <w:t xml:space="preserve">2023 год</w:t>
            </w:r>
          </w:p>
        </w:tc>
        <w:tc>
          <w:tcPr>
            <w:tcW w:w="844" w:type="dxa"/>
          </w:tcPr>
          <w:p>
            <w:pPr>
              <w:pStyle w:val="0"/>
              <w:jc w:val="center"/>
            </w:pPr>
            <w:r>
              <w:rPr>
                <w:sz w:val="20"/>
              </w:rPr>
              <w:t xml:space="preserve">2024 год</w:t>
            </w:r>
          </w:p>
        </w:tc>
        <w:tc>
          <w:tcPr>
            <w:tcW w:w="844" w:type="dxa"/>
          </w:tcPr>
          <w:p>
            <w:pPr>
              <w:pStyle w:val="0"/>
              <w:jc w:val="center"/>
            </w:pPr>
            <w:r>
              <w:rPr>
                <w:sz w:val="20"/>
              </w:rPr>
              <w:t xml:space="preserve">2025 год</w:t>
            </w:r>
          </w:p>
        </w:tc>
      </w:tr>
      <w:tr>
        <w:tc>
          <w:tcPr>
            <w:tcW w:w="544" w:type="dxa"/>
            <w:vAlign w:val="center"/>
          </w:tcPr>
          <w:p>
            <w:pPr>
              <w:pStyle w:val="0"/>
              <w:jc w:val="center"/>
            </w:pPr>
            <w:r>
              <w:rPr>
                <w:sz w:val="20"/>
              </w:rPr>
              <w:t xml:space="preserve">1</w:t>
            </w:r>
          </w:p>
        </w:tc>
        <w:tc>
          <w:tcPr>
            <w:tcW w:w="2359" w:type="dxa"/>
            <w:vAlign w:val="center"/>
          </w:tcPr>
          <w:p>
            <w:pPr>
              <w:pStyle w:val="0"/>
              <w:jc w:val="center"/>
            </w:pPr>
            <w:r>
              <w:rPr>
                <w:sz w:val="20"/>
              </w:rPr>
              <w:t xml:space="preserve">2</w:t>
            </w:r>
          </w:p>
        </w:tc>
        <w:tc>
          <w:tcPr>
            <w:tcW w:w="2041" w:type="dxa"/>
            <w:vAlign w:val="center"/>
          </w:tcPr>
          <w:p>
            <w:pPr>
              <w:pStyle w:val="0"/>
              <w:jc w:val="center"/>
            </w:pPr>
            <w:r>
              <w:rPr>
                <w:sz w:val="20"/>
              </w:rPr>
              <w:t xml:space="preserve">3</w:t>
            </w:r>
          </w:p>
        </w:tc>
        <w:tc>
          <w:tcPr>
            <w:tcW w:w="907" w:type="dxa"/>
            <w:vAlign w:val="center"/>
          </w:tcPr>
          <w:p>
            <w:pPr>
              <w:pStyle w:val="0"/>
              <w:jc w:val="center"/>
            </w:pPr>
            <w:r>
              <w:rPr>
                <w:sz w:val="20"/>
              </w:rPr>
              <w:t xml:space="preserve">4</w:t>
            </w:r>
          </w:p>
        </w:tc>
        <w:tc>
          <w:tcPr>
            <w:tcW w:w="964" w:type="dxa"/>
            <w:vAlign w:val="center"/>
          </w:tcPr>
          <w:p>
            <w:pPr>
              <w:pStyle w:val="0"/>
              <w:jc w:val="center"/>
            </w:pPr>
            <w:r>
              <w:rPr>
                <w:sz w:val="20"/>
              </w:rPr>
              <w:t xml:space="preserve">5</w:t>
            </w:r>
          </w:p>
        </w:tc>
        <w:tc>
          <w:tcPr>
            <w:tcW w:w="2539" w:type="dxa"/>
            <w:vAlign w:val="center"/>
          </w:tcPr>
          <w:p>
            <w:pPr>
              <w:pStyle w:val="0"/>
              <w:jc w:val="center"/>
            </w:pPr>
            <w:r>
              <w:rPr>
                <w:sz w:val="20"/>
              </w:rPr>
              <w:t xml:space="preserve">6</w:t>
            </w:r>
          </w:p>
        </w:tc>
        <w:tc>
          <w:tcPr>
            <w:tcW w:w="844" w:type="dxa"/>
            <w:vAlign w:val="center"/>
          </w:tcPr>
          <w:p>
            <w:pPr>
              <w:pStyle w:val="0"/>
              <w:jc w:val="center"/>
            </w:pPr>
            <w:r>
              <w:rPr>
                <w:sz w:val="20"/>
              </w:rPr>
              <w:t xml:space="preserve">7</w:t>
            </w:r>
          </w:p>
        </w:tc>
        <w:tc>
          <w:tcPr>
            <w:tcW w:w="844" w:type="dxa"/>
            <w:vAlign w:val="center"/>
          </w:tcPr>
          <w:p>
            <w:pPr>
              <w:pStyle w:val="0"/>
              <w:jc w:val="center"/>
            </w:pPr>
            <w:r>
              <w:rPr>
                <w:sz w:val="20"/>
              </w:rPr>
              <w:t xml:space="preserve">8</w:t>
            </w:r>
          </w:p>
        </w:tc>
        <w:tc>
          <w:tcPr>
            <w:tcW w:w="844" w:type="dxa"/>
            <w:vAlign w:val="center"/>
          </w:tcPr>
          <w:p>
            <w:pPr>
              <w:pStyle w:val="0"/>
              <w:jc w:val="center"/>
            </w:pPr>
            <w:r>
              <w:rPr>
                <w:sz w:val="20"/>
              </w:rPr>
              <w:t xml:space="preserve">9</w:t>
            </w:r>
          </w:p>
        </w:tc>
        <w:tc>
          <w:tcPr>
            <w:tcW w:w="844" w:type="dxa"/>
            <w:vAlign w:val="center"/>
          </w:tcPr>
          <w:p>
            <w:pPr>
              <w:pStyle w:val="0"/>
              <w:jc w:val="center"/>
            </w:pPr>
            <w:r>
              <w:rPr>
                <w:sz w:val="20"/>
              </w:rPr>
              <w:t xml:space="preserve">10</w:t>
            </w:r>
          </w:p>
        </w:tc>
        <w:tc>
          <w:tcPr>
            <w:tcW w:w="844" w:type="dxa"/>
            <w:vAlign w:val="center"/>
          </w:tcPr>
          <w:p>
            <w:pPr>
              <w:pStyle w:val="0"/>
              <w:jc w:val="center"/>
            </w:pPr>
            <w:r>
              <w:rPr>
                <w:sz w:val="20"/>
              </w:rPr>
              <w:t xml:space="preserve">11</w:t>
            </w:r>
          </w:p>
        </w:tc>
      </w:tr>
      <w:tr>
        <w:tc>
          <w:tcPr>
            <w:tcW w:w="544" w:type="dxa"/>
            <w:vAlign w:val="center"/>
            <w:vMerge w:val="restart"/>
          </w:tcPr>
          <w:p>
            <w:pPr>
              <w:pStyle w:val="0"/>
              <w:jc w:val="center"/>
            </w:pPr>
            <w:r>
              <w:rPr>
                <w:sz w:val="20"/>
              </w:rPr>
              <w:t xml:space="preserve">1</w:t>
            </w:r>
          </w:p>
        </w:tc>
        <w:tc>
          <w:tcPr>
            <w:tcW w:w="2359" w:type="dxa"/>
            <w:vAlign w:val="center"/>
            <w:vMerge w:val="restart"/>
          </w:tcPr>
          <w:p>
            <w:pPr>
              <w:pStyle w:val="0"/>
              <w:jc w:val="center"/>
            </w:pPr>
            <w:r>
              <w:rPr>
                <w:sz w:val="20"/>
              </w:rPr>
              <w:t xml:space="preserve">"Развитие водного и лесного хозяйства Белгородской области, охрана окружающей среды". Цель: сохранение, восстановление и рациональное использование природных ресурсов и охрана окружающей среды области</w:t>
            </w:r>
          </w:p>
        </w:tc>
        <w:tc>
          <w:tcPr>
            <w:tcW w:w="2041" w:type="dxa"/>
            <w:vAlign w:val="center"/>
            <w:vMerge w:val="restart"/>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2. Удельный вес выбросов загрязняющих веществ в атмосферный воздух от стационарных источников, тонн/млн руб. ВРП</w:t>
            </w:r>
          </w:p>
        </w:tc>
        <w:tc>
          <w:tcPr>
            <w:tcW w:w="844" w:type="dxa"/>
            <w:vAlign w:val="center"/>
          </w:tcPr>
          <w:p>
            <w:pPr>
              <w:pStyle w:val="0"/>
              <w:jc w:val="center"/>
            </w:pPr>
            <w:r>
              <w:rPr>
                <w:sz w:val="20"/>
              </w:rPr>
              <w:t xml:space="preserve">0,118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3. Удельный объем сбросов загрязненных сточных вод, куб. м/млн руб. ВРП</w:t>
            </w:r>
          </w:p>
        </w:tc>
        <w:tc>
          <w:tcPr>
            <w:tcW w:w="844" w:type="dxa"/>
            <w:vAlign w:val="center"/>
          </w:tcPr>
          <w:p>
            <w:pPr>
              <w:pStyle w:val="0"/>
              <w:jc w:val="center"/>
            </w:pPr>
            <w:r>
              <w:rPr>
                <w:sz w:val="20"/>
              </w:rPr>
              <w:t xml:space="preserve">0,068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5. Индекс прироста численности косули, процентов</w:t>
            </w:r>
          </w:p>
        </w:tc>
        <w:tc>
          <w:tcPr>
            <w:tcW w:w="844" w:type="dxa"/>
            <w:vAlign w:val="center"/>
          </w:tcPr>
          <w:p>
            <w:pPr>
              <w:pStyle w:val="0"/>
              <w:jc w:val="center"/>
            </w:pPr>
            <w:r>
              <w:rPr>
                <w:sz w:val="20"/>
              </w:rPr>
              <w:t xml:space="preserve">18,5</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процентов</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2. Удельный вес выбросов загрязняющих веществ в атмосферный воздух от стационарных источников, тонн/млн руб. ВРП</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0,111</w:t>
            </w:r>
          </w:p>
        </w:tc>
        <w:tc>
          <w:tcPr>
            <w:tcW w:w="844" w:type="dxa"/>
            <w:vAlign w:val="center"/>
          </w:tcPr>
          <w:p>
            <w:pPr>
              <w:pStyle w:val="0"/>
              <w:jc w:val="center"/>
            </w:pPr>
            <w:r>
              <w:rPr>
                <w:sz w:val="20"/>
              </w:rPr>
              <w:t xml:space="preserve">0,104</w:t>
            </w:r>
          </w:p>
        </w:tc>
        <w:tc>
          <w:tcPr>
            <w:tcW w:w="844" w:type="dxa"/>
            <w:vAlign w:val="center"/>
          </w:tcPr>
          <w:p>
            <w:pPr>
              <w:pStyle w:val="0"/>
              <w:jc w:val="center"/>
            </w:pPr>
            <w:r>
              <w:rPr>
                <w:sz w:val="20"/>
              </w:rPr>
              <w:t xml:space="preserve">0,097</w:t>
            </w:r>
          </w:p>
        </w:tc>
        <w:tc>
          <w:tcPr>
            <w:tcW w:w="844" w:type="dxa"/>
            <w:vAlign w:val="center"/>
          </w:tcPr>
          <w:p>
            <w:pPr>
              <w:pStyle w:val="0"/>
              <w:jc w:val="center"/>
            </w:pPr>
            <w:r>
              <w:rPr>
                <w:sz w:val="20"/>
              </w:rPr>
              <w:t xml:space="preserve">0,087</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3. Удельный объем сбросов загрязненных сточных вод, куб. м/млн руб. ВРП</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0,064</w:t>
            </w:r>
          </w:p>
        </w:tc>
        <w:tc>
          <w:tcPr>
            <w:tcW w:w="844" w:type="dxa"/>
            <w:vAlign w:val="center"/>
          </w:tcPr>
          <w:p>
            <w:pPr>
              <w:pStyle w:val="0"/>
              <w:jc w:val="center"/>
            </w:pPr>
            <w:r>
              <w:rPr>
                <w:sz w:val="20"/>
              </w:rPr>
              <w:t xml:space="preserve">0,06</w:t>
            </w:r>
          </w:p>
        </w:tc>
        <w:tc>
          <w:tcPr>
            <w:tcW w:w="844" w:type="dxa"/>
            <w:vAlign w:val="center"/>
          </w:tcPr>
          <w:p>
            <w:pPr>
              <w:pStyle w:val="0"/>
              <w:jc w:val="center"/>
            </w:pPr>
            <w:r>
              <w:rPr>
                <w:sz w:val="20"/>
              </w:rPr>
              <w:t xml:space="preserve">0,056</w:t>
            </w:r>
          </w:p>
        </w:tc>
        <w:tc>
          <w:tcPr>
            <w:tcW w:w="844" w:type="dxa"/>
            <w:vAlign w:val="center"/>
          </w:tcPr>
          <w:p>
            <w:pPr>
              <w:pStyle w:val="0"/>
              <w:jc w:val="center"/>
            </w:pPr>
            <w:r>
              <w:rPr>
                <w:sz w:val="20"/>
              </w:rPr>
              <w:t xml:space="preserve">0,05</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5. Индекс прироста численности косули,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18,7</w:t>
            </w:r>
          </w:p>
        </w:tc>
        <w:tc>
          <w:tcPr>
            <w:tcW w:w="844" w:type="dxa"/>
            <w:vAlign w:val="center"/>
          </w:tcPr>
          <w:p>
            <w:pPr>
              <w:pStyle w:val="0"/>
              <w:jc w:val="center"/>
            </w:pPr>
            <w:r>
              <w:rPr>
                <w:sz w:val="20"/>
              </w:rPr>
              <w:t xml:space="preserve">18,9</w:t>
            </w:r>
          </w:p>
        </w:tc>
        <w:tc>
          <w:tcPr>
            <w:tcW w:w="844" w:type="dxa"/>
            <w:vAlign w:val="center"/>
          </w:tcPr>
          <w:p>
            <w:pPr>
              <w:pStyle w:val="0"/>
              <w:jc w:val="center"/>
            </w:pPr>
            <w:r>
              <w:rPr>
                <w:sz w:val="20"/>
              </w:rPr>
              <w:t xml:space="preserve">19,1</w:t>
            </w:r>
          </w:p>
        </w:tc>
        <w:tc>
          <w:tcPr>
            <w:tcW w:w="844" w:type="dxa"/>
            <w:vAlign w:val="center"/>
          </w:tcPr>
          <w:p>
            <w:pPr>
              <w:pStyle w:val="0"/>
              <w:jc w:val="center"/>
            </w:pPr>
            <w:r>
              <w:rPr>
                <w:sz w:val="20"/>
              </w:rPr>
              <w:t xml:space="preserve">19,3</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6. 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tcW w:w="544" w:type="dxa"/>
            <w:vAlign w:val="center"/>
          </w:tcPr>
          <w:p>
            <w:pPr>
              <w:pStyle w:val="0"/>
              <w:jc w:val="center"/>
            </w:pPr>
            <w:r>
              <w:rPr>
                <w:sz w:val="20"/>
              </w:rPr>
              <w:t xml:space="preserve">2</w:t>
            </w:r>
          </w:p>
        </w:tc>
        <w:tc>
          <w:tcPr>
            <w:tcW w:w="2359" w:type="dxa"/>
            <w:vAlign w:val="center"/>
          </w:tcPr>
          <w:p>
            <w:pPr>
              <w:pStyle w:val="0"/>
              <w:jc w:val="center"/>
            </w:pPr>
            <w:r>
              <w:rPr>
                <w:sz w:val="20"/>
              </w:rPr>
              <w:t xml:space="preserve">Подпрограмма 1 "Развитие лесного хозяйства"</w:t>
            </w:r>
          </w:p>
        </w:tc>
        <w:tc>
          <w:tcPr>
            <w:tcW w:w="2041" w:type="dxa"/>
            <w:vAlign w:val="center"/>
          </w:tcPr>
          <w:p>
            <w:pPr>
              <w:pStyle w:val="0"/>
              <w:jc w:val="center"/>
            </w:pPr>
            <w:r>
              <w:rPr>
                <w:sz w:val="20"/>
              </w:rPr>
              <w:t xml:space="preserve">Управление лесами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 руб./га</w:t>
            </w:r>
          </w:p>
        </w:tc>
        <w:tc>
          <w:tcPr>
            <w:tcW w:w="844" w:type="dxa"/>
            <w:vAlign w:val="center"/>
          </w:tcPr>
          <w:p>
            <w:pPr>
              <w:pStyle w:val="0"/>
              <w:jc w:val="center"/>
            </w:pPr>
            <w:r>
              <w:rPr>
                <w:sz w:val="20"/>
              </w:rPr>
              <w:t xml:space="preserve">111,4</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2</w:t>
            </w:r>
          </w:p>
        </w:tc>
        <w:tc>
          <w:tcPr>
            <w:tcW w:w="2359" w:type="dxa"/>
            <w:vAlign w:val="center"/>
            <w:vMerge w:val="restart"/>
          </w:tcPr>
          <w:p>
            <w:pPr>
              <w:pStyle w:val="0"/>
            </w:pPr>
            <w:r>
              <w:rPr>
                <w:sz w:val="20"/>
              </w:rPr>
            </w:r>
          </w:p>
        </w:tc>
        <w:tc>
          <w:tcPr>
            <w:tcW w:w="2041" w:type="dxa"/>
            <w:vAlign w:val="center"/>
          </w:tcPr>
          <w:p>
            <w:pPr>
              <w:pStyle w:val="0"/>
            </w:pPr>
            <w:r>
              <w:rPr>
                <w:sz w:val="20"/>
              </w:rPr>
            </w:r>
          </w:p>
        </w:tc>
        <w:tc>
          <w:tcPr>
            <w:tcW w:w="907" w:type="dxa"/>
            <w:vAlign w:val="center"/>
          </w:tcPr>
          <w:p>
            <w:pPr>
              <w:pStyle w:val="0"/>
            </w:pPr>
            <w:r>
              <w:rPr>
                <w:sz w:val="20"/>
              </w:rPr>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Лесистость на территории Белгородской области, процентов</w:t>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 руб./га</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112,6</w:t>
            </w:r>
          </w:p>
        </w:tc>
        <w:tc>
          <w:tcPr>
            <w:tcW w:w="844" w:type="dxa"/>
            <w:vAlign w:val="center"/>
          </w:tcPr>
          <w:p>
            <w:pPr>
              <w:pStyle w:val="0"/>
              <w:jc w:val="center"/>
            </w:pPr>
            <w:r>
              <w:rPr>
                <w:sz w:val="20"/>
              </w:rPr>
              <w:t xml:space="preserve">117,2</w:t>
            </w:r>
          </w:p>
        </w:tc>
        <w:tc>
          <w:tcPr>
            <w:tcW w:w="844" w:type="dxa"/>
            <w:vAlign w:val="center"/>
          </w:tcPr>
          <w:p>
            <w:pPr>
              <w:pStyle w:val="0"/>
              <w:jc w:val="center"/>
            </w:pPr>
            <w:r>
              <w:rPr>
                <w:sz w:val="20"/>
              </w:rPr>
              <w:t xml:space="preserve">117,2</w:t>
            </w:r>
          </w:p>
        </w:tc>
        <w:tc>
          <w:tcPr>
            <w:tcW w:w="844" w:type="dxa"/>
            <w:vAlign w:val="center"/>
          </w:tcPr>
          <w:p>
            <w:pPr>
              <w:pStyle w:val="0"/>
              <w:jc w:val="center"/>
            </w:pPr>
            <w:r>
              <w:rPr>
                <w:sz w:val="20"/>
              </w:rPr>
              <w:t xml:space="preserve">117,2</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Лесистость на территории Белгородской области,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t xml:space="preserve">8,7</w:t>
            </w:r>
          </w:p>
        </w:tc>
      </w:tr>
      <w:tr>
        <w:tc>
          <w:tcPr>
            <w:tcW w:w="544" w:type="dxa"/>
            <w:vAlign w:val="center"/>
            <w:vMerge w:val="restart"/>
          </w:tcPr>
          <w:p>
            <w:pPr>
              <w:pStyle w:val="0"/>
              <w:jc w:val="center"/>
            </w:pPr>
            <w:r>
              <w:rPr>
                <w:sz w:val="20"/>
              </w:rPr>
              <w:t xml:space="preserve">2.1</w:t>
            </w:r>
          </w:p>
        </w:tc>
        <w:tc>
          <w:tcPr>
            <w:tcW w:w="2359" w:type="dxa"/>
            <w:vAlign w:val="center"/>
            <w:vMerge w:val="restart"/>
          </w:tcPr>
          <w:p>
            <w:pPr>
              <w:pStyle w:val="0"/>
              <w:jc w:val="center"/>
            </w:pPr>
            <w:r>
              <w:rPr>
                <w:sz w:val="20"/>
              </w:rPr>
              <w:t xml:space="preserve">Основное мероприятие 1.1 "Обеспечение функций органов власти Белгородской области, в том числе территориальных органов"</w:t>
            </w:r>
          </w:p>
        </w:tc>
        <w:tc>
          <w:tcPr>
            <w:tcW w:w="2041" w:type="dxa"/>
            <w:vAlign w:val="center"/>
          </w:tcPr>
          <w:p>
            <w:pPr>
              <w:pStyle w:val="0"/>
              <w:jc w:val="center"/>
            </w:pPr>
            <w:r>
              <w:rPr>
                <w:sz w:val="20"/>
              </w:rPr>
              <w:t xml:space="preserve">Управление лесами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1.1.1. Динамика предотвращения возникновения нарушений лесного законодательства, причиняющих вред лесам, относительно уровня нарушений предыдущего года, процентов</w:t>
            </w:r>
          </w:p>
        </w:tc>
        <w:tc>
          <w:tcPr>
            <w:tcW w:w="844" w:type="dxa"/>
            <w:vAlign w:val="center"/>
          </w:tcPr>
          <w:p>
            <w:pPr>
              <w:pStyle w:val="0"/>
              <w:jc w:val="center"/>
            </w:pPr>
            <w:r>
              <w:rPr>
                <w:sz w:val="20"/>
              </w:rPr>
              <w:t xml:space="preserve">7,3</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1.1.1. Динамика предотвращения возникновения нарушений лесного законодательства, причиняющих вред лесам, относительно уровня нарушений предыдущего года,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5,1</w:t>
            </w:r>
          </w:p>
        </w:tc>
        <w:tc>
          <w:tcPr>
            <w:tcW w:w="844" w:type="dxa"/>
            <w:vAlign w:val="center"/>
          </w:tcPr>
          <w:p>
            <w:pPr>
              <w:pStyle w:val="0"/>
              <w:jc w:val="center"/>
            </w:pPr>
            <w:r>
              <w:rPr>
                <w:sz w:val="20"/>
              </w:rPr>
              <w:t xml:space="preserve">5,1</w:t>
            </w:r>
          </w:p>
        </w:tc>
        <w:tc>
          <w:tcPr>
            <w:tcW w:w="844" w:type="dxa"/>
            <w:vAlign w:val="center"/>
          </w:tcPr>
          <w:p>
            <w:pPr>
              <w:pStyle w:val="0"/>
              <w:jc w:val="center"/>
            </w:pPr>
            <w:r>
              <w:rPr>
                <w:sz w:val="20"/>
              </w:rPr>
              <w:t xml:space="preserve">5,1</w:t>
            </w:r>
          </w:p>
        </w:tc>
        <w:tc>
          <w:tcPr>
            <w:tcW w:w="844" w:type="dxa"/>
            <w:vAlign w:val="center"/>
          </w:tcPr>
          <w:p>
            <w:pPr>
              <w:pStyle w:val="0"/>
              <w:jc w:val="center"/>
            </w:pPr>
            <w:r>
              <w:rPr>
                <w:sz w:val="20"/>
              </w:rPr>
              <w:t xml:space="preserve">5,1</w:t>
            </w:r>
          </w:p>
        </w:tc>
      </w:tr>
      <w:tr>
        <w:tc>
          <w:tcPr>
            <w:tcW w:w="544" w:type="dxa"/>
            <w:vAlign w:val="center"/>
            <w:vMerge w:val="restart"/>
          </w:tcPr>
          <w:p>
            <w:pPr>
              <w:pStyle w:val="0"/>
              <w:jc w:val="center"/>
            </w:pPr>
            <w:r>
              <w:rPr>
                <w:sz w:val="20"/>
              </w:rPr>
              <w:t xml:space="preserve">2.2</w:t>
            </w:r>
          </w:p>
        </w:tc>
        <w:tc>
          <w:tcPr>
            <w:tcW w:w="2359" w:type="dxa"/>
            <w:vAlign w:val="center"/>
            <w:vMerge w:val="restart"/>
          </w:tcPr>
          <w:p>
            <w:pPr>
              <w:pStyle w:val="0"/>
              <w:jc w:val="center"/>
            </w:pPr>
            <w:r>
              <w:rPr>
                <w:sz w:val="20"/>
              </w:rPr>
              <w:t xml:space="preserve">Основное мероприятие 1.2 "Обеспечение деятельности (оказание услуг) государственных учреждений (организаций)"</w:t>
            </w:r>
          </w:p>
        </w:tc>
        <w:tc>
          <w:tcPr>
            <w:tcW w:w="2041" w:type="dxa"/>
            <w:vAlign w:val="center"/>
            <w:vMerge w:val="restart"/>
          </w:tcPr>
          <w:p>
            <w:pPr>
              <w:pStyle w:val="0"/>
              <w:jc w:val="center"/>
            </w:pPr>
            <w:r>
              <w:rPr>
                <w:sz w:val="20"/>
              </w:rPr>
              <w:t xml:space="preserve">Управление лесами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Показатель 1.2.1. Доля лесных пожаров, ликвидированных в течение первых суток с момента обнаружения, процентов</w:t>
            </w:r>
          </w:p>
        </w:tc>
        <w:tc>
          <w:tcPr>
            <w:tcW w:w="844" w:type="dxa"/>
            <w:vAlign w:val="center"/>
          </w:tcPr>
          <w:p>
            <w:pPr>
              <w:pStyle w:val="0"/>
              <w:jc w:val="center"/>
            </w:pPr>
            <w:r>
              <w:rPr>
                <w:sz w:val="20"/>
              </w:rPr>
              <w:t xml:space="preserve">88,5</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1.2.2. Доля площади лесов, на которых проведена таксация лесов и в отношении которых осуществлено проектирование мероприятий по охране, защите и воспроизводству в течение последних 10 лет, в площади лесов с интенсивным использованием лесов и ведением лесного хозяйства, процентов</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Показатель 1.2.1. Доля лесных пожаров, ликвидированных в течение первых суток с момента обнаружения,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86,1</w:t>
            </w:r>
          </w:p>
        </w:tc>
        <w:tc>
          <w:tcPr>
            <w:tcW w:w="844" w:type="dxa"/>
            <w:vAlign w:val="center"/>
          </w:tcPr>
          <w:p>
            <w:pPr>
              <w:pStyle w:val="0"/>
              <w:jc w:val="center"/>
            </w:pPr>
            <w:r>
              <w:rPr>
                <w:sz w:val="20"/>
              </w:rPr>
              <w:t xml:space="preserve">86,1</w:t>
            </w:r>
          </w:p>
        </w:tc>
        <w:tc>
          <w:tcPr>
            <w:tcW w:w="844" w:type="dxa"/>
            <w:vAlign w:val="center"/>
          </w:tcPr>
          <w:p>
            <w:pPr>
              <w:pStyle w:val="0"/>
              <w:jc w:val="center"/>
            </w:pPr>
            <w:r>
              <w:rPr>
                <w:sz w:val="20"/>
              </w:rPr>
              <w:t xml:space="preserve">86,1</w:t>
            </w:r>
          </w:p>
        </w:tc>
        <w:tc>
          <w:tcPr>
            <w:tcW w:w="844" w:type="dxa"/>
            <w:vAlign w:val="center"/>
          </w:tcPr>
          <w:p>
            <w:pPr>
              <w:pStyle w:val="0"/>
              <w:jc w:val="center"/>
            </w:pPr>
            <w:r>
              <w:rPr>
                <w:sz w:val="20"/>
              </w:rPr>
              <w:t xml:space="preserve">86,1</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1.2.2. Доля площади лесов, на которых проведена таксация лесов и в отношении которых осуществлено проектирование мероприятий по охране, защите и воспроизводству в течение последних 10 лет, в площади лесов с интенсивным использованием лесов и ведением лесного хозяйства,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tcW w:w="544" w:type="dxa"/>
            <w:vAlign w:val="center"/>
            <w:tcBorders>
              <w:bottom w:val="nil"/>
            </w:tcBorders>
            <w:vMerge w:val="restart"/>
          </w:tcPr>
          <w:p>
            <w:pPr>
              <w:pStyle w:val="0"/>
              <w:jc w:val="center"/>
            </w:pPr>
            <w:r>
              <w:rPr>
                <w:sz w:val="20"/>
              </w:rPr>
              <w:t xml:space="preserve">2.3</w:t>
            </w:r>
          </w:p>
        </w:tc>
        <w:tc>
          <w:tcPr>
            <w:tcW w:w="2359" w:type="dxa"/>
            <w:vAlign w:val="center"/>
            <w:vMerge w:val="restart"/>
          </w:tcPr>
          <w:p>
            <w:pPr>
              <w:pStyle w:val="0"/>
              <w:jc w:val="center"/>
            </w:pPr>
            <w:r>
              <w:rPr>
                <w:sz w:val="20"/>
              </w:rPr>
              <w:t xml:space="preserve">Основное мероприятие 1.3 "Осуществление органами государственной власти Российской Федерации отдельных полномочий в области лесных отношений"</w:t>
            </w:r>
          </w:p>
        </w:tc>
        <w:tc>
          <w:tcPr>
            <w:tcW w:w="2041" w:type="dxa"/>
            <w:vAlign w:val="center"/>
            <w:vMerge w:val="restart"/>
          </w:tcPr>
          <w:p>
            <w:pPr>
              <w:pStyle w:val="0"/>
              <w:jc w:val="center"/>
            </w:pPr>
            <w:r>
              <w:rPr>
                <w:sz w:val="20"/>
              </w:rPr>
              <w:t xml:space="preserve">Управление лесами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 Доля площади земель лесного фонда, переданных в пользование, в общей площади земель лесного фонда, процентов</w:t>
            </w:r>
          </w:p>
        </w:tc>
        <w:tc>
          <w:tcPr>
            <w:tcW w:w="844" w:type="dxa"/>
            <w:vAlign w:val="center"/>
          </w:tcPr>
          <w:p>
            <w:pPr>
              <w:pStyle w:val="0"/>
              <w:jc w:val="center"/>
            </w:pPr>
            <w:r>
              <w:rPr>
                <w:sz w:val="20"/>
              </w:rPr>
              <w:t xml:space="preserve">27,5</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bottom w:val="nil"/>
            </w:tcBorders>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1.3.2. 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процентов</w:t>
            </w:r>
          </w:p>
        </w:tc>
        <w:tc>
          <w:tcPr>
            <w:tcW w:w="844" w:type="dxa"/>
            <w:vAlign w:val="center"/>
          </w:tcPr>
          <w:p>
            <w:pPr>
              <w:pStyle w:val="0"/>
              <w:jc w:val="center"/>
            </w:pPr>
            <w:r>
              <w:rPr>
                <w:sz w:val="20"/>
              </w:rPr>
              <w:t xml:space="preserve">7,965</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bottom w:val="nil"/>
            </w:tcBorders>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1.3.3. Реконструкция лесных дорог, предназначенных для охраны лесов от пожаров, км</w:t>
            </w:r>
          </w:p>
        </w:tc>
        <w:tc>
          <w:tcPr>
            <w:tcW w:w="844" w:type="dxa"/>
            <w:vAlign w:val="center"/>
          </w:tcPr>
          <w:p>
            <w:pPr>
              <w:pStyle w:val="0"/>
              <w:jc w:val="center"/>
            </w:pPr>
            <w:r>
              <w:rPr>
                <w:sz w:val="20"/>
              </w:rPr>
              <w:t xml:space="preserve">72,2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bottom w:val="nil"/>
            </w:tcBorders>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1.3.4. Устройство минерализованных полос, км</w:t>
            </w:r>
          </w:p>
        </w:tc>
        <w:tc>
          <w:tcPr>
            <w:tcW w:w="844" w:type="dxa"/>
            <w:vAlign w:val="center"/>
          </w:tcPr>
          <w:p>
            <w:pPr>
              <w:pStyle w:val="0"/>
              <w:jc w:val="center"/>
            </w:pPr>
            <w:r>
              <w:rPr>
                <w:sz w:val="20"/>
              </w:rPr>
              <w:t xml:space="preserve">94,6</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bottom w:val="nil"/>
            </w:tcBorders>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1.3.5. Мониторинг пожарной опасности в лесах и лесных пожаров, га</w:t>
            </w:r>
          </w:p>
        </w:tc>
        <w:tc>
          <w:tcPr>
            <w:tcW w:w="844" w:type="dxa"/>
            <w:vAlign w:val="center"/>
          </w:tcPr>
          <w:p>
            <w:pPr>
              <w:pStyle w:val="0"/>
              <w:jc w:val="center"/>
            </w:pPr>
            <w:r>
              <w:rPr>
                <w:sz w:val="20"/>
              </w:rPr>
              <w:t xml:space="preserve">230599</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bottom w:val="nil"/>
            </w:tcBorders>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1.3.6. Отношение фактического объема заготовки древесины к установленному допустимому объему изъятия древесины, процентов</w:t>
            </w:r>
          </w:p>
        </w:tc>
        <w:tc>
          <w:tcPr>
            <w:tcW w:w="844" w:type="dxa"/>
            <w:vAlign w:val="center"/>
          </w:tcPr>
          <w:p>
            <w:pPr>
              <w:pStyle w:val="0"/>
              <w:jc w:val="center"/>
            </w:pPr>
            <w:r>
              <w:rPr>
                <w:sz w:val="20"/>
              </w:rPr>
              <w:t xml:space="preserve">56,8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bottom w:val="nil"/>
            </w:tcBorders>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1.3.7. 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процентов</w:t>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Borders>
              <w:top w:val="nil"/>
            </w:tcBorders>
            <w:vMerge w:val="restart"/>
          </w:tcPr>
          <w:p>
            <w:pPr>
              <w:pStyle w:val="0"/>
              <w:jc w:val="center"/>
            </w:pPr>
            <w:r>
              <w:rPr>
                <w:sz w:val="20"/>
              </w:rPr>
            </w: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1.3.8. Средняя численность должностных лиц, осуществляющих федеральный государственный лесной надзор (лесную охрану) на 50 тыс. га земель лесного фонда, человек</w:t>
            </w:r>
          </w:p>
        </w:tc>
        <w:tc>
          <w:tcPr>
            <w:tcW w:w="844" w:type="dxa"/>
            <w:vAlign w:val="center"/>
          </w:tcPr>
          <w:p>
            <w:pPr>
              <w:pStyle w:val="0"/>
              <w:jc w:val="center"/>
            </w:pPr>
            <w:r>
              <w:rPr>
                <w:sz w:val="20"/>
              </w:rPr>
              <w:t xml:space="preserve">49,05</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Borders>
              <w:top w:val="nil"/>
            </w:tcBorders>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1.3.1. Доля площади земель лесного фонда, переданных в пользование, в общей площади земель лесного фонда,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27,9</w:t>
            </w:r>
          </w:p>
        </w:tc>
        <w:tc>
          <w:tcPr>
            <w:tcW w:w="844" w:type="dxa"/>
            <w:vAlign w:val="center"/>
          </w:tcPr>
          <w:p>
            <w:pPr>
              <w:pStyle w:val="0"/>
              <w:jc w:val="center"/>
            </w:pPr>
            <w:r>
              <w:rPr>
                <w:sz w:val="20"/>
              </w:rPr>
              <w:t xml:space="preserve">28,2</w:t>
            </w:r>
          </w:p>
        </w:tc>
        <w:tc>
          <w:tcPr>
            <w:tcW w:w="844" w:type="dxa"/>
            <w:vAlign w:val="center"/>
          </w:tcPr>
          <w:p>
            <w:pPr>
              <w:pStyle w:val="0"/>
              <w:jc w:val="center"/>
            </w:pPr>
            <w:r>
              <w:rPr>
                <w:sz w:val="20"/>
              </w:rPr>
              <w:t xml:space="preserve">28,4</w:t>
            </w:r>
          </w:p>
        </w:tc>
        <w:tc>
          <w:tcPr>
            <w:tcW w:w="844" w:type="dxa"/>
            <w:vAlign w:val="center"/>
          </w:tcPr>
          <w:p>
            <w:pPr>
              <w:pStyle w:val="0"/>
              <w:jc w:val="center"/>
            </w:pPr>
            <w:r>
              <w:rPr>
                <w:sz w:val="20"/>
              </w:rPr>
              <w:t xml:space="preserve">28,4</w:t>
            </w:r>
          </w:p>
        </w:tc>
      </w:tr>
      <w:tr>
        <w:tc>
          <w:tcPr>
            <w:tcW w:w="544" w:type="dxa"/>
            <w:vAlign w:val="center"/>
            <w:vMerge w:val="restart"/>
          </w:tcPr>
          <w:p>
            <w:pPr>
              <w:pStyle w:val="0"/>
            </w:pPr>
            <w:r>
              <w:rPr>
                <w:sz w:val="20"/>
              </w:rPr>
            </w: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1.3.2. Доля площади погибших и поврежденных лесных насаждений с учетом проведенных мероприятий по защите леса в общей площади земель лесного фонда, занятых лесными насаждениями,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7,51</w:t>
            </w:r>
          </w:p>
        </w:tc>
        <w:tc>
          <w:tcPr>
            <w:tcW w:w="844" w:type="dxa"/>
            <w:vAlign w:val="center"/>
          </w:tcPr>
          <w:p>
            <w:pPr>
              <w:pStyle w:val="0"/>
              <w:jc w:val="center"/>
            </w:pPr>
            <w:r>
              <w:rPr>
                <w:sz w:val="20"/>
              </w:rPr>
              <w:t xml:space="preserve">7,055</w:t>
            </w:r>
          </w:p>
        </w:tc>
        <w:tc>
          <w:tcPr>
            <w:tcW w:w="844" w:type="dxa"/>
            <w:vAlign w:val="center"/>
          </w:tcPr>
          <w:p>
            <w:pPr>
              <w:pStyle w:val="0"/>
              <w:jc w:val="center"/>
            </w:pPr>
            <w:r>
              <w:rPr>
                <w:sz w:val="20"/>
              </w:rPr>
              <w:t xml:space="preserve">6,6</w:t>
            </w:r>
          </w:p>
        </w:tc>
        <w:tc>
          <w:tcPr>
            <w:tcW w:w="844" w:type="dxa"/>
            <w:vAlign w:val="center"/>
          </w:tcPr>
          <w:p>
            <w:pPr>
              <w:pStyle w:val="0"/>
              <w:jc w:val="center"/>
            </w:pPr>
            <w:r>
              <w:rPr>
                <w:sz w:val="20"/>
              </w:rPr>
              <w:t xml:space="preserve">6,6</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1.3.3. Реконструкция лесных дорог, предназначенных для охраны лесов от пожаров, км</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72,2</w:t>
            </w:r>
          </w:p>
        </w:tc>
        <w:tc>
          <w:tcPr>
            <w:tcW w:w="844" w:type="dxa"/>
            <w:vAlign w:val="center"/>
          </w:tcPr>
          <w:p>
            <w:pPr>
              <w:pStyle w:val="0"/>
              <w:jc w:val="center"/>
            </w:pPr>
            <w:r>
              <w:rPr>
                <w:sz w:val="20"/>
              </w:rPr>
              <w:t xml:space="preserve">72,2</w:t>
            </w:r>
          </w:p>
        </w:tc>
        <w:tc>
          <w:tcPr>
            <w:tcW w:w="844" w:type="dxa"/>
            <w:vAlign w:val="center"/>
          </w:tcPr>
          <w:p>
            <w:pPr>
              <w:pStyle w:val="0"/>
              <w:jc w:val="center"/>
            </w:pPr>
            <w:r>
              <w:rPr>
                <w:sz w:val="20"/>
              </w:rPr>
              <w:t xml:space="preserve">72,2</w:t>
            </w:r>
          </w:p>
        </w:tc>
        <w:tc>
          <w:tcPr>
            <w:tcW w:w="844" w:type="dxa"/>
            <w:vAlign w:val="center"/>
          </w:tcPr>
          <w:p>
            <w:pPr>
              <w:pStyle w:val="0"/>
              <w:jc w:val="center"/>
            </w:pPr>
            <w:r>
              <w:rPr>
                <w:sz w:val="20"/>
              </w:rPr>
              <w:t xml:space="preserve">72,2</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1.3.4. Устройство минерализованных полос, км</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94,6</w:t>
            </w:r>
          </w:p>
        </w:tc>
        <w:tc>
          <w:tcPr>
            <w:tcW w:w="844" w:type="dxa"/>
            <w:vAlign w:val="center"/>
          </w:tcPr>
          <w:p>
            <w:pPr>
              <w:pStyle w:val="0"/>
              <w:jc w:val="center"/>
            </w:pPr>
            <w:r>
              <w:rPr>
                <w:sz w:val="20"/>
              </w:rPr>
              <w:t xml:space="preserve">94,6</w:t>
            </w:r>
          </w:p>
        </w:tc>
        <w:tc>
          <w:tcPr>
            <w:tcW w:w="844" w:type="dxa"/>
            <w:vAlign w:val="center"/>
          </w:tcPr>
          <w:p>
            <w:pPr>
              <w:pStyle w:val="0"/>
              <w:jc w:val="center"/>
            </w:pPr>
            <w:r>
              <w:rPr>
                <w:sz w:val="20"/>
              </w:rPr>
              <w:t xml:space="preserve">94,6</w:t>
            </w:r>
          </w:p>
        </w:tc>
        <w:tc>
          <w:tcPr>
            <w:tcW w:w="844" w:type="dxa"/>
            <w:vAlign w:val="center"/>
          </w:tcPr>
          <w:p>
            <w:pPr>
              <w:pStyle w:val="0"/>
              <w:jc w:val="center"/>
            </w:pPr>
            <w:r>
              <w:rPr>
                <w:sz w:val="20"/>
              </w:rPr>
              <w:t xml:space="preserve">94,6</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1.3.5. Мониторинг пожарной опасности в лесах и лесных пожаров, га</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230599</w:t>
            </w:r>
          </w:p>
        </w:tc>
        <w:tc>
          <w:tcPr>
            <w:tcW w:w="844" w:type="dxa"/>
            <w:vAlign w:val="center"/>
          </w:tcPr>
          <w:p>
            <w:pPr>
              <w:pStyle w:val="0"/>
              <w:jc w:val="center"/>
            </w:pPr>
            <w:r>
              <w:rPr>
                <w:sz w:val="20"/>
              </w:rPr>
              <w:t xml:space="preserve">230599</w:t>
            </w:r>
          </w:p>
        </w:tc>
        <w:tc>
          <w:tcPr>
            <w:tcW w:w="844" w:type="dxa"/>
            <w:vAlign w:val="center"/>
          </w:tcPr>
          <w:p>
            <w:pPr>
              <w:pStyle w:val="0"/>
              <w:jc w:val="center"/>
            </w:pPr>
            <w:r>
              <w:rPr>
                <w:sz w:val="20"/>
              </w:rPr>
              <w:t xml:space="preserve">230599</w:t>
            </w:r>
          </w:p>
        </w:tc>
        <w:tc>
          <w:tcPr>
            <w:tcW w:w="844" w:type="dxa"/>
            <w:vAlign w:val="center"/>
          </w:tcPr>
          <w:p>
            <w:pPr>
              <w:pStyle w:val="0"/>
              <w:jc w:val="center"/>
            </w:pPr>
            <w:r>
              <w:rPr>
                <w:sz w:val="20"/>
              </w:rPr>
              <w:t xml:space="preserve">230599</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1.3.6. Отношение фактического объема заготовки древесины к установленному допустимому объему изъятия древесины,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57,7</w:t>
            </w:r>
          </w:p>
        </w:tc>
        <w:tc>
          <w:tcPr>
            <w:tcW w:w="844" w:type="dxa"/>
            <w:vAlign w:val="center"/>
          </w:tcPr>
          <w:p>
            <w:pPr>
              <w:pStyle w:val="0"/>
              <w:jc w:val="center"/>
            </w:pPr>
            <w:r>
              <w:rPr>
                <w:sz w:val="20"/>
              </w:rPr>
              <w:t xml:space="preserve">58,6</w:t>
            </w:r>
          </w:p>
        </w:tc>
        <w:tc>
          <w:tcPr>
            <w:tcW w:w="844" w:type="dxa"/>
            <w:vAlign w:val="center"/>
          </w:tcPr>
          <w:p>
            <w:pPr>
              <w:pStyle w:val="0"/>
              <w:jc w:val="center"/>
            </w:pPr>
            <w:r>
              <w:rPr>
                <w:sz w:val="20"/>
              </w:rPr>
              <w:t xml:space="preserve">59,6</w:t>
            </w:r>
          </w:p>
        </w:tc>
        <w:tc>
          <w:tcPr>
            <w:tcW w:w="844" w:type="dxa"/>
            <w:vAlign w:val="center"/>
          </w:tcPr>
          <w:p>
            <w:pPr>
              <w:pStyle w:val="0"/>
              <w:jc w:val="center"/>
            </w:pPr>
            <w:r>
              <w:rPr>
                <w:sz w:val="20"/>
              </w:rPr>
              <w:t xml:space="preserve">59,6</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1.3.7. Доля выписок, предоставленных гражданам и юридическим лицам, обратившимся в орган государственной власти субъекта Российской Федерации в области лесных отношений за получением государственной услуги по предоставлению выписки из государственного лесного реестра, в общем количестве принятых заявок на предоставление данной услуги,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t xml:space="preserve">90</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1.3.8. Средняя численность должностных лиц, осуществляющих федеральный государственный лесной надзор (лесную охрану) на 50 тыс. га земель лесного фонда, человек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49,05</w:t>
            </w:r>
          </w:p>
        </w:tc>
        <w:tc>
          <w:tcPr>
            <w:tcW w:w="844" w:type="dxa"/>
            <w:vAlign w:val="center"/>
          </w:tcPr>
          <w:p>
            <w:pPr>
              <w:pStyle w:val="0"/>
              <w:jc w:val="center"/>
            </w:pPr>
            <w:r>
              <w:rPr>
                <w:sz w:val="20"/>
              </w:rPr>
              <w:t xml:space="preserve">49,05</w:t>
            </w:r>
          </w:p>
        </w:tc>
        <w:tc>
          <w:tcPr>
            <w:tcW w:w="844" w:type="dxa"/>
            <w:vAlign w:val="center"/>
          </w:tcPr>
          <w:p>
            <w:pPr>
              <w:pStyle w:val="0"/>
              <w:jc w:val="center"/>
            </w:pPr>
            <w:r>
              <w:rPr>
                <w:sz w:val="20"/>
              </w:rPr>
              <w:t xml:space="preserve">166,67</w:t>
            </w:r>
          </w:p>
        </w:tc>
        <w:tc>
          <w:tcPr>
            <w:tcW w:w="844" w:type="dxa"/>
            <w:vAlign w:val="center"/>
          </w:tcPr>
          <w:p>
            <w:pPr>
              <w:pStyle w:val="0"/>
              <w:jc w:val="center"/>
            </w:pPr>
            <w:r>
              <w:rPr>
                <w:sz w:val="20"/>
              </w:rPr>
              <w:t xml:space="preserve">166,67</w:t>
            </w:r>
          </w:p>
        </w:tc>
      </w:tr>
      <w:tr>
        <w:tc>
          <w:tcPr>
            <w:tcW w:w="544" w:type="dxa"/>
            <w:vAlign w:val="center"/>
          </w:tcPr>
          <w:p>
            <w:pPr>
              <w:pStyle w:val="0"/>
              <w:jc w:val="center"/>
            </w:pPr>
            <w:r>
              <w:rPr>
                <w:sz w:val="20"/>
              </w:rPr>
              <w:t xml:space="preserve">2.4</w:t>
            </w:r>
          </w:p>
        </w:tc>
        <w:tc>
          <w:tcPr>
            <w:tcW w:w="2359" w:type="dxa"/>
            <w:vAlign w:val="center"/>
          </w:tcPr>
          <w:p>
            <w:pPr>
              <w:pStyle w:val="0"/>
              <w:jc w:val="center"/>
            </w:pPr>
            <w:r>
              <w:rPr>
                <w:sz w:val="20"/>
              </w:rPr>
              <w:t xml:space="preserve">Основное мероприятие 1.5 "Создание полезащитных полос"</w:t>
            </w:r>
          </w:p>
        </w:tc>
        <w:tc>
          <w:tcPr>
            <w:tcW w:w="2041" w:type="dxa"/>
            <w:vAlign w:val="center"/>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2023 - 2025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1.5.1. Выращивание (производство) посадочного материала лесных растений (сеянцев, саженцев), тысяч штук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4500</w:t>
            </w:r>
          </w:p>
        </w:tc>
        <w:tc>
          <w:tcPr>
            <w:tcW w:w="844" w:type="dxa"/>
            <w:vAlign w:val="center"/>
          </w:tcPr>
          <w:p>
            <w:pPr>
              <w:pStyle w:val="0"/>
              <w:jc w:val="center"/>
            </w:pPr>
            <w:r>
              <w:rPr>
                <w:sz w:val="20"/>
              </w:rPr>
              <w:t xml:space="preserve">3 200</w:t>
            </w:r>
          </w:p>
        </w:tc>
        <w:tc>
          <w:tcPr>
            <w:tcW w:w="844" w:type="dxa"/>
            <w:vAlign w:val="center"/>
          </w:tcPr>
          <w:p>
            <w:pPr>
              <w:pStyle w:val="0"/>
              <w:jc w:val="center"/>
            </w:pPr>
            <w:r>
              <w:rPr>
                <w:sz w:val="20"/>
              </w:rPr>
              <w:t xml:space="preserve">3200</w:t>
            </w:r>
          </w:p>
        </w:tc>
        <w:tc>
          <w:tcPr>
            <w:tcW w:w="844" w:type="dxa"/>
            <w:vAlign w:val="center"/>
          </w:tcPr>
          <w:p>
            <w:pPr>
              <w:pStyle w:val="0"/>
              <w:jc w:val="center"/>
            </w:pPr>
            <w:r>
              <w:rPr>
                <w:sz w:val="20"/>
              </w:rPr>
              <w:t xml:space="preserve">3200</w:t>
            </w:r>
          </w:p>
        </w:tc>
      </w:tr>
      <w:tr>
        <w:tc>
          <w:tcPr>
            <w:tcW w:w="544" w:type="dxa"/>
            <w:vAlign w:val="center"/>
            <w:tcBorders>
              <w:bottom w:val="nil"/>
            </w:tcBorders>
          </w:tcPr>
          <w:p>
            <w:pPr>
              <w:pStyle w:val="0"/>
              <w:jc w:val="center"/>
            </w:pPr>
            <w:r>
              <w:rPr>
                <w:sz w:val="20"/>
              </w:rPr>
              <w:t xml:space="preserve">2.5</w:t>
            </w:r>
          </w:p>
        </w:tc>
        <w:tc>
          <w:tcPr>
            <w:tcW w:w="2359" w:type="dxa"/>
            <w:vAlign w:val="center"/>
            <w:vMerge w:val="restart"/>
          </w:tcPr>
          <w:p>
            <w:pPr>
              <w:pStyle w:val="0"/>
              <w:jc w:val="center"/>
            </w:pPr>
            <w:r>
              <w:rPr>
                <w:sz w:val="20"/>
              </w:rPr>
              <w:t xml:space="preserve">Проект 1.GA "Сохранение лесов"</w:t>
            </w:r>
          </w:p>
        </w:tc>
        <w:tc>
          <w:tcPr>
            <w:tcW w:w="2041" w:type="dxa"/>
            <w:vAlign w:val="center"/>
          </w:tcPr>
          <w:p>
            <w:pPr>
              <w:pStyle w:val="0"/>
              <w:jc w:val="center"/>
            </w:pPr>
            <w:r>
              <w:rPr>
                <w:sz w:val="20"/>
              </w:rPr>
              <w:t xml:space="preserve">Управление лесами Белгородской области</w:t>
            </w:r>
          </w:p>
        </w:tc>
        <w:tc>
          <w:tcPr>
            <w:tcW w:w="907" w:type="dxa"/>
            <w:vAlign w:val="center"/>
          </w:tcPr>
          <w:p>
            <w:pPr>
              <w:pStyle w:val="0"/>
              <w:jc w:val="center"/>
            </w:pPr>
            <w:r>
              <w:rPr>
                <w:sz w:val="20"/>
              </w:rPr>
              <w:t xml:space="preserve">2019 - 2021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1.GA1. Отношение площади лесовосстановления и лесоразведения к площади вырубленных и погибших лесных насаждений, процентов</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Borders>
              <w:top w:val="nil"/>
            </w:tcBorders>
          </w:tcPr>
          <w:p>
            <w:pPr>
              <w:pStyle w:val="0"/>
              <w:jc w:val="center"/>
            </w:pPr>
            <w:r>
              <w:rPr>
                <w:sz w:val="20"/>
              </w:rPr>
            </w:r>
          </w:p>
        </w:tc>
        <w:tc>
          <w:tcPr>
            <w:vMerge w:val="continue"/>
          </w:tcPr>
          <w:p/>
        </w:tc>
        <w:tc>
          <w:tcPr>
            <w:tcW w:w="2041" w:type="dxa"/>
            <w:vAlign w:val="center"/>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2019 - 2025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1.GA1. Отношение площади лесовосстановления и лесоразведения к площади вырубленных и погибших лесных насаждений,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tcW w:w="544" w:type="dxa"/>
            <w:vAlign w:val="center"/>
            <w:vMerge w:val="restart"/>
          </w:tcPr>
          <w:p>
            <w:pPr>
              <w:pStyle w:val="0"/>
              <w:jc w:val="center"/>
            </w:pPr>
            <w:r>
              <w:rPr>
                <w:sz w:val="20"/>
              </w:rPr>
              <w:t xml:space="preserve">3</w:t>
            </w:r>
          </w:p>
        </w:tc>
        <w:tc>
          <w:tcPr>
            <w:tcW w:w="2359" w:type="dxa"/>
            <w:vAlign w:val="center"/>
            <w:vMerge w:val="restart"/>
          </w:tcPr>
          <w:p>
            <w:pPr>
              <w:pStyle w:val="0"/>
              <w:jc w:val="center"/>
            </w:pPr>
            <w:r>
              <w:rPr>
                <w:sz w:val="20"/>
              </w:rPr>
              <w:t xml:space="preserve">Подпрограмма 2 "Развитие водохозяйственного комплекса"</w:t>
            </w:r>
          </w:p>
        </w:tc>
        <w:tc>
          <w:tcPr>
            <w:tcW w:w="2041"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tcPr>
          <w:p>
            <w:pPr>
              <w:pStyle w:val="0"/>
              <w:jc w:val="center"/>
            </w:pPr>
            <w:r>
              <w:rPr>
                <w:sz w:val="20"/>
              </w:rPr>
              <w:t xml:space="preserve">2017 - 2025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проведенных водохозяйственных мероприятий от установленного перечня водохозяйственных мероприятий, проводимых за счет субсидий, субвенций, процентов</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2017 - 2025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проведенных водохозяйственных мероприятий от установленного перечня водохозяйственных мероприятий, проводимых за счет субсидий, субвенций,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r>
      <w:tr>
        <w:tc>
          <w:tcPr>
            <w:tcW w:w="544" w:type="dxa"/>
            <w:vAlign w:val="center"/>
            <w:vMerge w:val="restart"/>
          </w:tcPr>
          <w:p>
            <w:pPr>
              <w:pStyle w:val="0"/>
              <w:jc w:val="center"/>
            </w:pPr>
            <w:r>
              <w:rPr>
                <w:sz w:val="20"/>
              </w:rPr>
              <w:t xml:space="preserve">3.1</w:t>
            </w:r>
          </w:p>
        </w:tc>
        <w:tc>
          <w:tcPr>
            <w:tcW w:w="2359" w:type="dxa"/>
            <w:vAlign w:val="center"/>
            <w:vMerge w:val="restart"/>
          </w:tcPr>
          <w:p>
            <w:pPr>
              <w:pStyle w:val="0"/>
              <w:jc w:val="center"/>
            </w:pPr>
            <w:r>
              <w:rPr>
                <w:sz w:val="20"/>
              </w:rPr>
              <w:t xml:space="preserve">Основное мероприятие 2.1 "Осуществление органами государственной власти субъекта Российской Федерации отдельных полномочий в области водных отношений"</w:t>
            </w:r>
          </w:p>
        </w:tc>
        <w:tc>
          <w:tcPr>
            <w:tcW w:w="2041"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tcPr>
          <w:p>
            <w:pPr>
              <w:pStyle w:val="0"/>
              <w:jc w:val="center"/>
            </w:pPr>
            <w:r>
              <w:rPr>
                <w:sz w:val="20"/>
              </w:rPr>
              <w:t xml:space="preserve">2017 - 2025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2.1.4. Определение границ водоохранных зон и прибрежных защитных полос рек, км/год</w:t>
            </w:r>
          </w:p>
        </w:tc>
        <w:tc>
          <w:tcPr>
            <w:tcW w:w="844" w:type="dxa"/>
            <w:vAlign w:val="center"/>
          </w:tcPr>
          <w:p>
            <w:pPr>
              <w:pStyle w:val="0"/>
              <w:jc w:val="center"/>
            </w:pPr>
            <w:r>
              <w:rPr>
                <w:sz w:val="20"/>
              </w:rPr>
              <w:t xml:space="preserve">400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2017 - 2025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2.1.4. Определение границ водоохранных зон и прибрежных защитных полос рек, км/год</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250</w:t>
            </w:r>
          </w:p>
        </w:tc>
        <w:tc>
          <w:tcPr>
            <w:tcW w:w="844" w:type="dxa"/>
            <w:vAlign w:val="center"/>
          </w:tcPr>
          <w:p>
            <w:pPr>
              <w:pStyle w:val="0"/>
              <w:jc w:val="center"/>
            </w:pPr>
            <w:r>
              <w:rPr>
                <w:sz w:val="20"/>
              </w:rPr>
              <w:t xml:space="preserve">290</w:t>
            </w:r>
          </w:p>
        </w:tc>
      </w:tr>
      <w:tr>
        <w:tc>
          <w:tcPr>
            <w:vMerge w:val="continue"/>
          </w:tcPr>
          <w:p/>
        </w:tc>
        <w:tc>
          <w:tcPr>
            <w:vMerge w:val="continue"/>
          </w:tcPr>
          <w:p/>
        </w:tc>
        <w:tc>
          <w:tcPr>
            <w:vMerge w:val="continue"/>
          </w:tcPr>
          <w:p/>
        </w:tc>
        <w:tc>
          <w:tcPr>
            <w:tcW w:w="907" w:type="dxa"/>
            <w:vAlign w:val="center"/>
          </w:tcPr>
          <w:p>
            <w:pPr>
              <w:pStyle w:val="0"/>
              <w:jc w:val="center"/>
            </w:pPr>
            <w:r>
              <w:rPr>
                <w:sz w:val="20"/>
              </w:rPr>
              <w:t xml:space="preserve">2022 - 2024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2.1.6. Протяженность расчищенных участков русел рек, км</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0,2</w:t>
            </w:r>
          </w:p>
        </w:tc>
        <w:tc>
          <w:tcPr>
            <w:tcW w:w="844" w:type="dxa"/>
            <w:vAlign w:val="center"/>
          </w:tcPr>
          <w:p>
            <w:pPr>
              <w:pStyle w:val="0"/>
              <w:jc w:val="center"/>
            </w:pPr>
            <w:r>
              <w:rPr>
                <w:sz w:val="20"/>
              </w:rPr>
              <w:t xml:space="preserve">0,7</w:t>
            </w:r>
          </w:p>
        </w:tc>
        <w:tc>
          <w:tcPr>
            <w:tcW w:w="844" w:type="dxa"/>
            <w:vAlign w:val="center"/>
          </w:tcPr>
          <w:p>
            <w:pPr>
              <w:pStyle w:val="0"/>
              <w:jc w:val="center"/>
            </w:pPr>
            <w:r>
              <w:rPr>
                <w:sz w:val="20"/>
              </w:rPr>
              <w:t xml:space="preserve">0,1</w:t>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3.2</w:t>
            </w:r>
          </w:p>
        </w:tc>
        <w:tc>
          <w:tcPr>
            <w:tcW w:w="2359" w:type="dxa"/>
            <w:vAlign w:val="center"/>
            <w:vMerge w:val="restart"/>
          </w:tcPr>
          <w:p>
            <w:pPr>
              <w:pStyle w:val="0"/>
              <w:jc w:val="center"/>
            </w:pPr>
            <w:r>
              <w:rPr>
                <w:sz w:val="20"/>
              </w:rPr>
              <w:t xml:space="preserve">Основное мероприятие 2.2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041"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tcPr>
          <w:p>
            <w:pPr>
              <w:pStyle w:val="0"/>
              <w:jc w:val="center"/>
            </w:pPr>
            <w:r>
              <w:rPr>
                <w:sz w:val="20"/>
              </w:rPr>
              <w:t xml:space="preserve">2014 - 2021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2.2.1. Доля гидротехнических сооружений с неудовлетворительным и опасным уровнем безопасности, приведенных в безопасное техническое состояние, процентов</w:t>
            </w:r>
          </w:p>
        </w:tc>
        <w:tc>
          <w:tcPr>
            <w:tcW w:w="844" w:type="dxa"/>
            <w:vAlign w:val="center"/>
          </w:tcPr>
          <w:p>
            <w:pPr>
              <w:pStyle w:val="0"/>
              <w:jc w:val="center"/>
            </w:pPr>
            <w:r>
              <w:rPr>
                <w:sz w:val="20"/>
              </w:rPr>
              <w:t xml:space="preserve">54,5</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2018 - 2021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2.2.4.</w:t>
            </w:r>
          </w:p>
          <w:p>
            <w:pPr>
              <w:pStyle w:val="0"/>
              <w:jc w:val="center"/>
            </w:pPr>
            <w:r>
              <w:rPr>
                <w:sz w:val="20"/>
              </w:rPr>
              <w:t xml:space="preserve">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 штук</w:t>
            </w:r>
          </w:p>
        </w:tc>
        <w:tc>
          <w:tcPr>
            <w:tcW w:w="844" w:type="dxa"/>
            <w:vAlign w:val="center"/>
          </w:tcPr>
          <w:p>
            <w:pPr>
              <w:pStyle w:val="0"/>
              <w:jc w:val="center"/>
            </w:pPr>
            <w:r>
              <w:rPr>
                <w:sz w:val="20"/>
              </w:rPr>
              <w:t xml:space="preserve">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907" w:type="dxa"/>
            <w:vAlign w:val="center"/>
          </w:tcPr>
          <w:p>
            <w:pPr>
              <w:pStyle w:val="0"/>
              <w:jc w:val="center"/>
            </w:pPr>
            <w:r>
              <w:rPr>
                <w:sz w:val="20"/>
              </w:rPr>
              <w:t xml:space="preserve">2018 - 2023</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2.2.4. 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 штук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4,79</w:t>
            </w:r>
          </w:p>
        </w:tc>
        <w:tc>
          <w:tcPr>
            <w:tcW w:w="844" w:type="dxa"/>
            <w:vAlign w:val="center"/>
          </w:tcPr>
          <w:p>
            <w:pPr>
              <w:pStyle w:val="0"/>
              <w:jc w:val="center"/>
            </w:pPr>
            <w:r>
              <w:rPr>
                <w:sz w:val="20"/>
              </w:rPr>
              <w:t xml:space="preserve">2</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907" w:type="dxa"/>
            <w:vAlign w:val="center"/>
          </w:tcPr>
          <w:p>
            <w:pPr>
              <w:pStyle w:val="0"/>
              <w:jc w:val="center"/>
            </w:pPr>
            <w:r>
              <w:rPr>
                <w:sz w:val="20"/>
              </w:rPr>
              <w:t xml:space="preserve">2020 - 2021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2.2.5. Степень выполнения работ по мероприятиям, процентов</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3.3</w:t>
            </w:r>
          </w:p>
        </w:tc>
        <w:tc>
          <w:tcPr>
            <w:tcW w:w="2359" w:type="dxa"/>
            <w:vAlign w:val="center"/>
          </w:tcPr>
          <w:p>
            <w:pPr>
              <w:pStyle w:val="0"/>
              <w:jc w:val="center"/>
            </w:pPr>
            <w:r>
              <w:rPr>
                <w:sz w:val="20"/>
              </w:rPr>
              <w:t xml:space="preserve">Основное мероприятие 2.3 "Проведение мероприятий по предупреждению чрезвычайных ситуаций межмуниципального и регионального характера"</w:t>
            </w:r>
          </w:p>
        </w:tc>
        <w:tc>
          <w:tcPr>
            <w:tcW w:w="2041" w:type="dxa"/>
            <w:vAlign w:val="center"/>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2022 - 2025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2.3.1. Уровень достижения показателей государственного задания,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r>
      <w:tr>
        <w:tc>
          <w:tcPr>
            <w:tcW w:w="544" w:type="dxa"/>
            <w:vAlign w:val="center"/>
            <w:vMerge w:val="restart"/>
          </w:tcPr>
          <w:p>
            <w:pPr>
              <w:pStyle w:val="0"/>
              <w:jc w:val="center"/>
            </w:pPr>
            <w:r>
              <w:rPr>
                <w:sz w:val="20"/>
              </w:rPr>
              <w:t xml:space="preserve">3.4</w:t>
            </w:r>
          </w:p>
        </w:tc>
        <w:tc>
          <w:tcPr>
            <w:tcW w:w="2359" w:type="dxa"/>
            <w:vAlign w:val="center"/>
            <w:vMerge w:val="restart"/>
          </w:tcPr>
          <w:p>
            <w:pPr>
              <w:pStyle w:val="0"/>
              <w:jc w:val="center"/>
            </w:pPr>
            <w:r>
              <w:rPr>
                <w:sz w:val="20"/>
              </w:rPr>
              <w:t xml:space="preserve">Проект 2.G8 "Сохранение уникальных водных объектов"</w:t>
            </w:r>
          </w:p>
        </w:tc>
        <w:tc>
          <w:tcPr>
            <w:tcW w:w="2041" w:type="dxa"/>
            <w:vAlign w:val="center"/>
            <w:vMerge w:val="restart"/>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2022 - 2024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2.G8.1. Количество населения, улучшившего экологические условия проживания вблизи водных объектов, нарастающим итогом, млн чел.</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0,004</w:t>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907" w:type="dxa"/>
            <w:vAlign w:val="center"/>
          </w:tcPr>
          <w:p>
            <w:pPr>
              <w:pStyle w:val="0"/>
              <w:jc w:val="center"/>
            </w:pPr>
            <w:r>
              <w:rPr>
                <w:sz w:val="20"/>
              </w:rPr>
              <w:t xml:space="preserve">2022 - 2024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2.G8.2. Протяженность расчищенных участков русел рек, км</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2,2</w:t>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4</w:t>
            </w:r>
          </w:p>
        </w:tc>
        <w:tc>
          <w:tcPr>
            <w:tcW w:w="2359" w:type="dxa"/>
            <w:vAlign w:val="center"/>
            <w:vMerge w:val="restart"/>
          </w:tcPr>
          <w:p>
            <w:pPr>
              <w:pStyle w:val="0"/>
              <w:jc w:val="center"/>
            </w:pPr>
            <w:r>
              <w:rPr>
                <w:sz w:val="20"/>
              </w:rPr>
              <w:t xml:space="preserve">Подпрограмма 3 "Охрана окружающей среды и рациональное природопользование"</w:t>
            </w:r>
          </w:p>
        </w:tc>
        <w:tc>
          <w:tcPr>
            <w:tcW w:w="2041"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tcPr>
          <w:p>
            <w:pPr>
              <w:pStyle w:val="0"/>
              <w:jc w:val="center"/>
            </w:pPr>
            <w:r>
              <w:rPr>
                <w:sz w:val="20"/>
              </w:rPr>
              <w:t xml:space="preserve">2017 - 2025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подготовленных проектных решений и отчетов, направленных на экологическую безопасность, стабилизацию</w:t>
            </w:r>
          </w:p>
          <w:p>
            <w:pPr>
              <w:pStyle w:val="0"/>
              <w:jc w:val="center"/>
            </w:pPr>
            <w:r>
              <w:rPr>
                <w:sz w:val="20"/>
              </w:rPr>
              <w:t xml:space="preserve">и улучшение качества окружающей среды, штук</w:t>
            </w:r>
          </w:p>
        </w:tc>
        <w:tc>
          <w:tcPr>
            <w:tcW w:w="844" w:type="dxa"/>
            <w:vAlign w:val="center"/>
          </w:tcPr>
          <w:p>
            <w:pPr>
              <w:pStyle w:val="0"/>
              <w:jc w:val="center"/>
            </w:pPr>
            <w:r>
              <w:rPr>
                <w:sz w:val="20"/>
              </w:rPr>
              <w:t xml:space="preserve">6</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природопользования Белгородской области, управление экологического и охотничьего надзора Белгородской области, министерство экономического развития и промышленности Белгородской области, АНО "Зеленая инфраструктура городов"</w:t>
            </w:r>
          </w:p>
        </w:tc>
        <w:tc>
          <w:tcPr>
            <w:tcW w:w="907" w:type="dxa"/>
            <w:vAlign w:val="center"/>
          </w:tcPr>
          <w:p>
            <w:pPr>
              <w:pStyle w:val="0"/>
              <w:jc w:val="center"/>
            </w:pPr>
            <w:r>
              <w:rPr>
                <w:sz w:val="20"/>
              </w:rPr>
              <w:t xml:space="preserve">2017 - 2025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подготовленных проектных решений и отчетов, направленных на экологическую безопасность, стабилизацию и улучшение качества окружающей среды, штук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w:t>
            </w:r>
          </w:p>
        </w:tc>
        <w:tc>
          <w:tcPr>
            <w:tcW w:w="844" w:type="dxa"/>
            <w:vAlign w:val="center"/>
          </w:tcPr>
          <w:p>
            <w:pPr>
              <w:pStyle w:val="0"/>
              <w:jc w:val="center"/>
            </w:pPr>
            <w:r>
              <w:rPr>
                <w:sz w:val="20"/>
              </w:rPr>
              <w:t xml:space="preserve">6</w:t>
            </w:r>
          </w:p>
        </w:tc>
        <w:tc>
          <w:tcPr>
            <w:tcW w:w="844" w:type="dxa"/>
            <w:vAlign w:val="center"/>
          </w:tcPr>
          <w:p>
            <w:pPr>
              <w:pStyle w:val="0"/>
              <w:jc w:val="center"/>
            </w:pPr>
            <w:r>
              <w:rPr>
                <w:sz w:val="20"/>
              </w:rPr>
              <w:t xml:space="preserve">6</w:t>
            </w:r>
          </w:p>
        </w:tc>
        <w:tc>
          <w:tcPr>
            <w:tcW w:w="844" w:type="dxa"/>
            <w:vAlign w:val="center"/>
          </w:tcPr>
          <w:p>
            <w:pPr>
              <w:pStyle w:val="0"/>
              <w:jc w:val="center"/>
            </w:pPr>
            <w:r>
              <w:rPr>
                <w:sz w:val="20"/>
              </w:rPr>
              <w:t xml:space="preserve">6</w:t>
            </w:r>
          </w:p>
        </w:tc>
      </w:tr>
      <w:tr>
        <w:tc>
          <w:tcPr>
            <w:tcW w:w="544" w:type="dxa"/>
            <w:vAlign w:val="center"/>
            <w:vMerge w:val="restart"/>
          </w:tcPr>
          <w:p>
            <w:pPr>
              <w:pStyle w:val="0"/>
              <w:jc w:val="center"/>
            </w:pPr>
            <w:r>
              <w:rPr>
                <w:sz w:val="20"/>
              </w:rPr>
              <w:t xml:space="preserve">4.1</w:t>
            </w:r>
          </w:p>
        </w:tc>
        <w:tc>
          <w:tcPr>
            <w:tcW w:w="2359" w:type="dxa"/>
            <w:vAlign w:val="center"/>
            <w:vMerge w:val="restart"/>
          </w:tcPr>
          <w:p>
            <w:pPr>
              <w:pStyle w:val="0"/>
              <w:jc w:val="center"/>
            </w:pPr>
            <w:r>
              <w:rPr>
                <w:sz w:val="20"/>
              </w:rPr>
              <w:t xml:space="preserve">Основное мероприятие 3.1 "Охрана окружающей среды и рациональное природопользование"</w:t>
            </w:r>
          </w:p>
        </w:tc>
        <w:tc>
          <w:tcPr>
            <w:tcW w:w="2041"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3.1.1. Количество мест отбора проб и определение по ним качества воды и донных отложений, штук</w:t>
            </w:r>
          </w:p>
        </w:tc>
        <w:tc>
          <w:tcPr>
            <w:tcW w:w="844" w:type="dxa"/>
            <w:vAlign w:val="center"/>
          </w:tcPr>
          <w:p>
            <w:pPr>
              <w:pStyle w:val="0"/>
              <w:jc w:val="center"/>
            </w:pPr>
            <w:r>
              <w:rPr>
                <w:sz w:val="20"/>
              </w:rPr>
              <w:t xml:space="preserve">8</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vMerge w:val="restart"/>
          </w:tcPr>
          <w:p>
            <w:pPr>
              <w:pStyle w:val="0"/>
              <w:jc w:val="center"/>
            </w:pPr>
            <w:r>
              <w:rPr>
                <w:sz w:val="20"/>
              </w:rPr>
              <w:t xml:space="preserve">Министерство природопользования Белгородской области, управление экологического и охотничьего надзора Белгородской области</w:t>
            </w:r>
          </w:p>
        </w:tc>
        <w:tc>
          <w:tcPr>
            <w:tcW w:w="907" w:type="dxa"/>
            <w:vAlign w:val="center"/>
            <w:vMerge w:val="restart"/>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3.1.1. Количество мест отбора проб и определение по ним качества воды и донных отложений, штук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w:t>
            </w:r>
          </w:p>
        </w:tc>
        <w:tc>
          <w:tcPr>
            <w:tcW w:w="844" w:type="dxa"/>
            <w:vAlign w:val="center"/>
          </w:tcPr>
          <w:p>
            <w:pPr>
              <w:pStyle w:val="0"/>
              <w:jc w:val="center"/>
            </w:pPr>
            <w:r>
              <w:rPr>
                <w:sz w:val="20"/>
              </w:rPr>
              <w:t xml:space="preserve">8</w:t>
            </w:r>
          </w:p>
        </w:tc>
        <w:tc>
          <w:tcPr>
            <w:tcW w:w="844" w:type="dxa"/>
            <w:vAlign w:val="center"/>
          </w:tcPr>
          <w:p>
            <w:pPr>
              <w:pStyle w:val="0"/>
              <w:jc w:val="center"/>
            </w:pPr>
            <w:r>
              <w:rPr>
                <w:sz w:val="20"/>
              </w:rPr>
              <w:t xml:space="preserve">8</w:t>
            </w:r>
          </w:p>
        </w:tc>
        <w:tc>
          <w:tcPr>
            <w:tcW w:w="844" w:type="dxa"/>
            <w:vAlign w:val="center"/>
          </w:tcPr>
          <w:p>
            <w:pPr>
              <w:pStyle w:val="0"/>
              <w:jc w:val="center"/>
            </w:pPr>
            <w:r>
              <w:rPr>
                <w:sz w:val="20"/>
              </w:rPr>
              <w:t xml:space="preserve">8</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3.1.2. Количество мест проведения маркшейдерских работ, единиц</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w:t>
            </w:r>
          </w:p>
        </w:tc>
        <w:tc>
          <w:tcPr>
            <w:tcW w:w="844" w:type="dxa"/>
            <w:vAlign w:val="center"/>
          </w:tcPr>
          <w:p>
            <w:pPr>
              <w:pStyle w:val="0"/>
              <w:jc w:val="center"/>
            </w:pPr>
            <w:r>
              <w:rPr>
                <w:sz w:val="20"/>
              </w:rPr>
              <w:t xml:space="preserve">10</w:t>
            </w:r>
          </w:p>
        </w:tc>
        <w:tc>
          <w:tcPr>
            <w:tcW w:w="844" w:type="dxa"/>
            <w:vAlign w:val="center"/>
          </w:tcPr>
          <w:p>
            <w:pPr>
              <w:pStyle w:val="0"/>
              <w:jc w:val="center"/>
            </w:pPr>
            <w:r>
              <w:rPr>
                <w:sz w:val="20"/>
              </w:rPr>
              <w:t xml:space="preserve">10</w:t>
            </w:r>
          </w:p>
        </w:tc>
        <w:tc>
          <w:tcPr>
            <w:tcW w:w="844" w:type="dxa"/>
            <w:vAlign w:val="center"/>
          </w:tcPr>
          <w:p>
            <w:pPr>
              <w:pStyle w:val="0"/>
              <w:jc w:val="center"/>
            </w:pPr>
            <w:r>
              <w:rPr>
                <w:sz w:val="20"/>
              </w:rPr>
              <w:t xml:space="preserve">8</w:t>
            </w:r>
          </w:p>
        </w:tc>
      </w:tr>
      <w:tr>
        <w:tc>
          <w:tcPr>
            <w:vMerge w:val="continue"/>
          </w:tcPr>
          <w:p/>
        </w:tc>
        <w:tc>
          <w:tcPr>
            <w:vMerge w:val="continue"/>
          </w:tcPr>
          <w:p/>
        </w:tc>
        <w:tc>
          <w:tcPr>
            <w:vMerge w:val="continue"/>
          </w:tcPr>
          <w:p/>
        </w:tc>
        <w:tc>
          <w:tcPr>
            <w:vMerge w:val="continue"/>
          </w:tcPr>
          <w:p/>
        </w:tc>
        <w:tc>
          <w:tcPr>
            <w:tcW w:w="964" w:type="dxa"/>
            <w:vAlign w:val="center"/>
          </w:tcPr>
          <w:p>
            <w:pPr>
              <w:pStyle w:val="0"/>
              <w:jc w:val="both"/>
            </w:pPr>
            <w:r>
              <w:rPr>
                <w:sz w:val="20"/>
              </w:rPr>
              <w:t xml:space="preserve">прогрессирующий</w:t>
            </w:r>
          </w:p>
        </w:tc>
        <w:tc>
          <w:tcPr>
            <w:tcW w:w="2539" w:type="dxa"/>
            <w:vAlign w:val="center"/>
          </w:tcPr>
          <w:p>
            <w:pPr>
              <w:pStyle w:val="0"/>
              <w:jc w:val="center"/>
            </w:pPr>
            <w:r>
              <w:rPr>
                <w:sz w:val="20"/>
              </w:rPr>
              <w:t xml:space="preserve">Показатель 3.1.3. Количество проб и определение по ним качества воды, воздуха, почвы, грунтов и отходов, штук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70</w:t>
            </w:r>
          </w:p>
        </w:tc>
        <w:tc>
          <w:tcPr>
            <w:tcW w:w="844" w:type="dxa"/>
            <w:vAlign w:val="center"/>
          </w:tcPr>
          <w:p>
            <w:pPr>
              <w:pStyle w:val="0"/>
              <w:jc w:val="center"/>
            </w:pPr>
            <w:r>
              <w:rPr>
                <w:sz w:val="20"/>
              </w:rPr>
              <w:t xml:space="preserve">67</w:t>
            </w:r>
          </w:p>
        </w:tc>
        <w:tc>
          <w:tcPr>
            <w:tcW w:w="844" w:type="dxa"/>
            <w:vAlign w:val="center"/>
          </w:tcPr>
          <w:p>
            <w:pPr>
              <w:pStyle w:val="0"/>
              <w:jc w:val="center"/>
            </w:pPr>
            <w:r>
              <w:rPr>
                <w:sz w:val="20"/>
              </w:rPr>
              <w:t xml:space="preserve">67</w:t>
            </w:r>
          </w:p>
        </w:tc>
        <w:tc>
          <w:tcPr>
            <w:tcW w:w="844" w:type="dxa"/>
            <w:vAlign w:val="center"/>
          </w:tcPr>
          <w:p>
            <w:pPr>
              <w:pStyle w:val="0"/>
              <w:jc w:val="center"/>
            </w:pPr>
            <w:r>
              <w:rPr>
                <w:sz w:val="20"/>
              </w:rPr>
              <w:t xml:space="preserve">65</w:t>
            </w:r>
          </w:p>
        </w:tc>
      </w:tr>
      <w:tr>
        <w:tc>
          <w:tcPr>
            <w:tcW w:w="544" w:type="dxa"/>
            <w:vAlign w:val="center"/>
            <w:vMerge w:val="restart"/>
          </w:tcPr>
          <w:p>
            <w:pPr>
              <w:pStyle w:val="0"/>
              <w:jc w:val="center"/>
            </w:pPr>
            <w:r>
              <w:rPr>
                <w:sz w:val="20"/>
              </w:rPr>
              <w:t xml:space="preserve">4.2</w:t>
            </w:r>
          </w:p>
        </w:tc>
        <w:tc>
          <w:tcPr>
            <w:tcW w:w="2359" w:type="dxa"/>
            <w:vAlign w:val="center"/>
            <w:vMerge w:val="restart"/>
          </w:tcPr>
          <w:p>
            <w:pPr>
              <w:pStyle w:val="0"/>
              <w:jc w:val="center"/>
            </w:pPr>
            <w:r>
              <w:rPr>
                <w:sz w:val="20"/>
              </w:rPr>
              <w:t xml:space="preserve">Основное мероприятие 3.3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041"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3.3.1. Количество разработанных проектов по капитальному ремонту бесхозяйных и муниципальных ГТС, штук</w:t>
            </w:r>
          </w:p>
        </w:tc>
        <w:tc>
          <w:tcPr>
            <w:tcW w:w="844" w:type="dxa"/>
            <w:vAlign w:val="center"/>
          </w:tcPr>
          <w:p>
            <w:pPr>
              <w:pStyle w:val="0"/>
              <w:jc w:val="center"/>
            </w:pPr>
            <w:r>
              <w:rPr>
                <w:sz w:val="20"/>
              </w:rPr>
              <w:t xml:space="preserve">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природопользования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3.3.1. Количество разработанных проектов по капитальному ремонту бесхозяйных и муниципальных ГТС, штук</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t xml:space="preserve">3</w:t>
            </w:r>
          </w:p>
        </w:tc>
        <w:tc>
          <w:tcPr>
            <w:tcW w:w="844" w:type="dxa"/>
            <w:vAlign w:val="center"/>
          </w:tcPr>
          <w:p>
            <w:pPr>
              <w:pStyle w:val="0"/>
              <w:jc w:val="center"/>
            </w:pPr>
            <w:r>
              <w:rPr>
                <w:sz w:val="20"/>
              </w:rPr>
              <w:t xml:space="preserve">3</w:t>
            </w:r>
          </w:p>
        </w:tc>
        <w:tc>
          <w:tcPr>
            <w:tcW w:w="844" w:type="dxa"/>
            <w:vAlign w:val="center"/>
          </w:tcPr>
          <w:p>
            <w:pPr>
              <w:pStyle w:val="0"/>
              <w:jc w:val="center"/>
            </w:pPr>
            <w:r>
              <w:rPr>
                <w:sz w:val="20"/>
              </w:rPr>
              <w:t xml:space="preserve">3</w:t>
            </w:r>
          </w:p>
        </w:tc>
      </w:tr>
      <w:tr>
        <w:tc>
          <w:tcPr>
            <w:tcW w:w="544" w:type="dxa"/>
            <w:vAlign w:val="center"/>
            <w:vMerge w:val="restart"/>
          </w:tcPr>
          <w:p>
            <w:pPr>
              <w:pStyle w:val="0"/>
              <w:jc w:val="center"/>
            </w:pPr>
            <w:r>
              <w:rPr>
                <w:sz w:val="20"/>
              </w:rPr>
              <w:t xml:space="preserve">4.3</w:t>
            </w:r>
          </w:p>
        </w:tc>
        <w:tc>
          <w:tcPr>
            <w:tcW w:w="2359" w:type="dxa"/>
            <w:vAlign w:val="center"/>
            <w:vMerge w:val="restart"/>
          </w:tcPr>
          <w:p>
            <w:pPr>
              <w:pStyle w:val="0"/>
              <w:jc w:val="center"/>
            </w:pPr>
            <w:r>
              <w:rPr>
                <w:sz w:val="20"/>
              </w:rPr>
              <w:t xml:space="preserve">Основное мероприятие 3.5 "Разработка и реализация инновационных проектов в области охраны окружающей среды"</w:t>
            </w:r>
          </w:p>
        </w:tc>
        <w:tc>
          <w:tcPr>
            <w:tcW w:w="2041" w:type="dxa"/>
            <w:vAlign w:val="center"/>
            <w:vMerge w:val="restart"/>
          </w:tcPr>
          <w:p>
            <w:pPr>
              <w:pStyle w:val="0"/>
              <w:jc w:val="center"/>
            </w:pPr>
            <w:r>
              <w:rPr>
                <w:sz w:val="20"/>
              </w:rPr>
              <w:t xml:space="preserve">Министерство экономического развития и промышленности Белгородской области, АНО "Зеленая инфраструктура городов"</w:t>
            </w:r>
          </w:p>
        </w:tc>
        <w:tc>
          <w:tcPr>
            <w:tcW w:w="907" w:type="dxa"/>
            <w:vAlign w:val="center"/>
          </w:tcPr>
          <w:p>
            <w:pPr>
              <w:pStyle w:val="0"/>
              <w:jc w:val="center"/>
            </w:pPr>
            <w:r>
              <w:rPr>
                <w:sz w:val="20"/>
              </w:rPr>
              <w:t xml:space="preserve">2022 - 2023</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3.5.1.</w:t>
            </w:r>
          </w:p>
          <w:p>
            <w:pPr>
              <w:pStyle w:val="0"/>
              <w:jc w:val="center"/>
            </w:pPr>
            <w:r>
              <w:rPr>
                <w:sz w:val="20"/>
              </w:rPr>
              <w:t xml:space="preserve">Уровень наполнения информационной системы зеленой инфраструктуры города,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80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907" w:type="dxa"/>
            <w:vAlign w:val="center"/>
          </w:tcPr>
          <w:p>
            <w:pPr>
              <w:pStyle w:val="0"/>
              <w:jc w:val="center"/>
            </w:pPr>
            <w:r>
              <w:rPr>
                <w:sz w:val="20"/>
              </w:rPr>
              <w:t xml:space="preserve">2023 - 2025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3.5.2.</w:t>
            </w:r>
          </w:p>
          <w:p>
            <w:pPr>
              <w:pStyle w:val="0"/>
              <w:jc w:val="center"/>
            </w:pPr>
            <w:r>
              <w:rPr>
                <w:sz w:val="20"/>
              </w:rPr>
              <w:t xml:space="preserve">Количество сформированных пробных (экспериментальных) площадок, полигонов по мониторингу зеленых насаждений (урбобиоценозов) города, единиц</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w:t>
            </w:r>
          </w:p>
        </w:tc>
        <w:tc>
          <w:tcPr>
            <w:tcW w:w="844" w:type="dxa"/>
            <w:vAlign w:val="center"/>
          </w:tcPr>
          <w:p>
            <w:pPr>
              <w:pStyle w:val="0"/>
              <w:jc w:val="center"/>
            </w:pPr>
            <w:r>
              <w:rPr>
                <w:sz w:val="20"/>
              </w:rPr>
              <w:t xml:space="preserve">5</w:t>
            </w:r>
          </w:p>
        </w:tc>
        <w:tc>
          <w:tcPr>
            <w:tcW w:w="844" w:type="dxa"/>
            <w:vAlign w:val="center"/>
          </w:tcPr>
          <w:p>
            <w:pPr>
              <w:pStyle w:val="0"/>
              <w:jc w:val="center"/>
            </w:pPr>
            <w:r>
              <w:rPr>
                <w:sz w:val="20"/>
              </w:rPr>
              <w:t xml:space="preserve">3</w:t>
            </w:r>
          </w:p>
        </w:tc>
      </w:tr>
      <w:tr>
        <w:tc>
          <w:tcPr>
            <w:tcW w:w="544" w:type="dxa"/>
            <w:vAlign w:val="center"/>
          </w:tcPr>
          <w:p>
            <w:pPr>
              <w:pStyle w:val="0"/>
              <w:jc w:val="center"/>
            </w:pPr>
            <w:r>
              <w:rPr>
                <w:sz w:val="20"/>
              </w:rPr>
              <w:t xml:space="preserve">5</w:t>
            </w:r>
          </w:p>
        </w:tc>
        <w:tc>
          <w:tcPr>
            <w:tcW w:w="2359" w:type="dxa"/>
            <w:vAlign w:val="center"/>
          </w:tcPr>
          <w:p>
            <w:pPr>
              <w:pStyle w:val="0"/>
              <w:jc w:val="center"/>
            </w:pPr>
            <w:r>
              <w:rPr>
                <w:sz w:val="20"/>
              </w:rPr>
              <w:t xml:space="preserve">Подпрограмма 4 "Сохранение, воспроизводство и использование животного мира"</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Отношение фактической добычи косули европейской к установленным лимитам добычи, процентов</w:t>
            </w:r>
          </w:p>
        </w:tc>
        <w:tc>
          <w:tcPr>
            <w:tcW w:w="844" w:type="dxa"/>
            <w:vAlign w:val="center"/>
          </w:tcPr>
          <w:p>
            <w:pPr>
              <w:pStyle w:val="0"/>
              <w:jc w:val="center"/>
            </w:pPr>
            <w:r>
              <w:rPr>
                <w:sz w:val="20"/>
              </w:rPr>
              <w:t xml:space="preserve">76</w:t>
            </w:r>
          </w:p>
        </w:tc>
        <w:tc>
          <w:tcPr>
            <w:tcW w:w="844" w:type="dxa"/>
            <w:vAlign w:val="center"/>
          </w:tcPr>
          <w:p>
            <w:pPr>
              <w:pStyle w:val="0"/>
              <w:jc w:val="center"/>
            </w:pPr>
            <w:r>
              <w:rPr>
                <w:sz w:val="20"/>
              </w:rPr>
              <w:t xml:space="preserve">77</w:t>
            </w:r>
          </w:p>
        </w:tc>
        <w:tc>
          <w:tcPr>
            <w:tcW w:w="844" w:type="dxa"/>
            <w:vAlign w:val="center"/>
          </w:tcPr>
          <w:p>
            <w:pPr>
              <w:pStyle w:val="0"/>
              <w:jc w:val="center"/>
            </w:pPr>
            <w:r>
              <w:rPr>
                <w:sz w:val="20"/>
              </w:rPr>
              <w:t xml:space="preserve">78</w:t>
            </w:r>
          </w:p>
        </w:tc>
        <w:tc>
          <w:tcPr>
            <w:tcW w:w="844" w:type="dxa"/>
            <w:vAlign w:val="center"/>
          </w:tcPr>
          <w:p>
            <w:pPr>
              <w:pStyle w:val="0"/>
              <w:jc w:val="center"/>
            </w:pPr>
            <w:r>
              <w:rPr>
                <w:sz w:val="20"/>
              </w:rPr>
              <w:t xml:space="preserve">79</w:t>
            </w:r>
          </w:p>
        </w:tc>
        <w:tc>
          <w:tcPr>
            <w:tcW w:w="844" w:type="dxa"/>
            <w:vAlign w:val="center"/>
          </w:tcPr>
          <w:p>
            <w:pPr>
              <w:pStyle w:val="0"/>
              <w:jc w:val="center"/>
            </w:pPr>
            <w:r>
              <w:rPr>
                <w:sz w:val="20"/>
              </w:rPr>
              <w:t xml:space="preserve">80</w:t>
            </w:r>
          </w:p>
        </w:tc>
      </w:tr>
      <w:tr>
        <w:tc>
          <w:tcPr>
            <w:tcW w:w="544" w:type="dxa"/>
            <w:vAlign w:val="center"/>
          </w:tcPr>
          <w:p>
            <w:pPr>
              <w:pStyle w:val="0"/>
              <w:jc w:val="center"/>
            </w:pPr>
            <w:r>
              <w:rPr>
                <w:sz w:val="20"/>
              </w:rPr>
              <w:t xml:space="preserve">5.1</w:t>
            </w:r>
          </w:p>
        </w:tc>
        <w:tc>
          <w:tcPr>
            <w:tcW w:w="2359" w:type="dxa"/>
            <w:vAlign w:val="center"/>
          </w:tcPr>
          <w:p>
            <w:pPr>
              <w:pStyle w:val="0"/>
              <w:jc w:val="center"/>
            </w:pPr>
            <w:r>
              <w:rPr>
                <w:sz w:val="20"/>
              </w:rPr>
              <w:t xml:space="preserve">Основное мероприятие 4.4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4.3.1. Доля нарушений, выявленных при осуществлении федерального государственного охотничьего надзора, по которым вынесены постановления о привлечении к ответственности, к общему количеству выявленных нарушений, процентов</w:t>
            </w:r>
          </w:p>
        </w:tc>
        <w:tc>
          <w:tcPr>
            <w:tcW w:w="844" w:type="dxa"/>
            <w:vAlign w:val="center"/>
          </w:tcPr>
          <w:p>
            <w:pPr>
              <w:pStyle w:val="0"/>
              <w:jc w:val="center"/>
            </w:pPr>
            <w:r>
              <w:rPr>
                <w:sz w:val="20"/>
              </w:rPr>
              <w:t xml:space="preserve">84</w:t>
            </w:r>
          </w:p>
        </w:tc>
        <w:tc>
          <w:tcPr>
            <w:tcW w:w="844" w:type="dxa"/>
            <w:vAlign w:val="center"/>
          </w:tcPr>
          <w:p>
            <w:pPr>
              <w:pStyle w:val="0"/>
              <w:jc w:val="center"/>
            </w:pPr>
            <w:r>
              <w:rPr>
                <w:sz w:val="20"/>
              </w:rPr>
              <w:t xml:space="preserve">85</w:t>
            </w:r>
          </w:p>
        </w:tc>
        <w:tc>
          <w:tcPr>
            <w:tcW w:w="844" w:type="dxa"/>
            <w:vAlign w:val="center"/>
          </w:tcPr>
          <w:p>
            <w:pPr>
              <w:pStyle w:val="0"/>
              <w:jc w:val="center"/>
            </w:pPr>
            <w:r>
              <w:rPr>
                <w:sz w:val="20"/>
              </w:rPr>
              <w:t xml:space="preserve">86</w:t>
            </w:r>
          </w:p>
        </w:tc>
        <w:tc>
          <w:tcPr>
            <w:tcW w:w="844" w:type="dxa"/>
            <w:vAlign w:val="center"/>
          </w:tcPr>
          <w:p>
            <w:pPr>
              <w:pStyle w:val="0"/>
              <w:jc w:val="center"/>
            </w:pPr>
            <w:r>
              <w:rPr>
                <w:sz w:val="20"/>
              </w:rPr>
              <w:t xml:space="preserve">87</w:t>
            </w:r>
          </w:p>
        </w:tc>
        <w:tc>
          <w:tcPr>
            <w:tcW w:w="844" w:type="dxa"/>
            <w:vAlign w:val="center"/>
          </w:tcPr>
          <w:p>
            <w:pPr>
              <w:pStyle w:val="0"/>
              <w:jc w:val="center"/>
            </w:pPr>
            <w:r>
              <w:rPr>
                <w:sz w:val="20"/>
              </w:rPr>
              <w:t xml:space="preserve">88</w:t>
            </w:r>
          </w:p>
        </w:tc>
      </w:tr>
      <w:tr>
        <w:tc>
          <w:tcPr>
            <w:tcW w:w="544" w:type="dxa"/>
            <w:vAlign w:val="center"/>
          </w:tcPr>
          <w:p>
            <w:pPr>
              <w:pStyle w:val="0"/>
              <w:jc w:val="center"/>
            </w:pPr>
            <w:r>
              <w:rPr>
                <w:sz w:val="20"/>
              </w:rPr>
              <w:t xml:space="preserve">5.2</w:t>
            </w:r>
          </w:p>
        </w:tc>
        <w:tc>
          <w:tcPr>
            <w:tcW w:w="2359" w:type="dxa"/>
            <w:vAlign w:val="center"/>
          </w:tcPr>
          <w:p>
            <w:pPr>
              <w:pStyle w:val="0"/>
              <w:jc w:val="center"/>
            </w:pPr>
            <w:r>
              <w:rPr>
                <w:sz w:val="20"/>
              </w:rPr>
              <w:t xml:space="preserve">Основное мероприятие 4.5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2021 - 2025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общедоступных охотничьих угодий или особо охраняемых природных территорий регионального значения области, на которых проведены мероприятия по предотвращению гибели объектов животного мира, не отнесенных к охотничьим ресурсам и водным биологическим ресурсам, обитающих на территории области, за исключением занесенных в Красную книгу Российской Федерации, к общему количеству общедоступных охотничьих угодий области и особо охраняемых природных территорий регионального значения области, процентов</w:t>
            </w:r>
          </w:p>
        </w:tc>
        <w:tc>
          <w:tcPr>
            <w:tcW w:w="844" w:type="dxa"/>
            <w:vAlign w:val="center"/>
          </w:tcPr>
          <w:p>
            <w:pPr>
              <w:pStyle w:val="0"/>
              <w:jc w:val="center"/>
            </w:pPr>
            <w:r>
              <w:rPr>
                <w:sz w:val="20"/>
              </w:rPr>
              <w:t xml:space="preserve">2,94</w:t>
            </w:r>
          </w:p>
        </w:tc>
        <w:tc>
          <w:tcPr>
            <w:tcW w:w="844" w:type="dxa"/>
            <w:vAlign w:val="center"/>
          </w:tcPr>
          <w:p>
            <w:pPr>
              <w:pStyle w:val="0"/>
              <w:jc w:val="center"/>
            </w:pPr>
            <w:r>
              <w:rPr>
                <w:sz w:val="20"/>
              </w:rPr>
              <w:t xml:space="preserve">2,94</w:t>
            </w:r>
          </w:p>
        </w:tc>
        <w:tc>
          <w:tcPr>
            <w:tcW w:w="844" w:type="dxa"/>
            <w:vAlign w:val="center"/>
          </w:tcPr>
          <w:p>
            <w:pPr>
              <w:pStyle w:val="0"/>
              <w:jc w:val="center"/>
            </w:pPr>
            <w:r>
              <w:rPr>
                <w:sz w:val="20"/>
              </w:rPr>
              <w:t xml:space="preserve">2,94</w:t>
            </w:r>
          </w:p>
        </w:tc>
        <w:tc>
          <w:tcPr>
            <w:tcW w:w="844" w:type="dxa"/>
            <w:vAlign w:val="center"/>
          </w:tcPr>
          <w:p>
            <w:pPr>
              <w:pStyle w:val="0"/>
              <w:jc w:val="center"/>
            </w:pPr>
            <w:r>
              <w:rPr>
                <w:sz w:val="20"/>
              </w:rPr>
              <w:t xml:space="preserve">2,94</w:t>
            </w:r>
          </w:p>
        </w:tc>
        <w:tc>
          <w:tcPr>
            <w:tcW w:w="844" w:type="dxa"/>
            <w:vAlign w:val="center"/>
          </w:tcPr>
          <w:p>
            <w:pPr>
              <w:pStyle w:val="0"/>
              <w:jc w:val="center"/>
            </w:pPr>
            <w:r>
              <w:rPr>
                <w:sz w:val="20"/>
              </w:rPr>
              <w:t xml:space="preserve">2,94</w:t>
            </w:r>
          </w:p>
        </w:tc>
      </w:tr>
      <w:tr>
        <w:tc>
          <w:tcPr>
            <w:tcW w:w="544" w:type="dxa"/>
            <w:vAlign w:val="center"/>
          </w:tcPr>
          <w:p>
            <w:pPr>
              <w:pStyle w:val="0"/>
              <w:jc w:val="center"/>
            </w:pPr>
            <w:r>
              <w:rPr>
                <w:sz w:val="20"/>
              </w:rPr>
              <w:t xml:space="preserve">6</w:t>
            </w:r>
          </w:p>
        </w:tc>
        <w:tc>
          <w:tcPr>
            <w:tcW w:w="2359" w:type="dxa"/>
            <w:vAlign w:val="center"/>
          </w:tcPr>
          <w:p>
            <w:pPr>
              <w:pStyle w:val="0"/>
              <w:jc w:val="center"/>
            </w:pPr>
            <w:r>
              <w:rPr>
                <w:sz w:val="20"/>
              </w:rPr>
              <w:t xml:space="preserve">Подпрограмма 5 "Любительское рыболовство и охрана водных биоресурсов"</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Средний вылов одного рыболова за один выезд, кг</w:t>
            </w:r>
          </w:p>
        </w:tc>
        <w:tc>
          <w:tcPr>
            <w:tcW w:w="844" w:type="dxa"/>
            <w:vAlign w:val="center"/>
          </w:tcPr>
          <w:p>
            <w:pPr>
              <w:pStyle w:val="0"/>
              <w:jc w:val="center"/>
            </w:pPr>
            <w:r>
              <w:rPr>
                <w:sz w:val="20"/>
              </w:rPr>
              <w:t xml:space="preserve">3,37</w:t>
            </w:r>
          </w:p>
        </w:tc>
        <w:tc>
          <w:tcPr>
            <w:tcW w:w="844" w:type="dxa"/>
            <w:vAlign w:val="center"/>
          </w:tcPr>
          <w:p>
            <w:pPr>
              <w:pStyle w:val="0"/>
              <w:jc w:val="center"/>
            </w:pPr>
            <w:r>
              <w:rPr>
                <w:sz w:val="20"/>
              </w:rPr>
              <w:t xml:space="preserve">3,38</w:t>
            </w:r>
          </w:p>
        </w:tc>
        <w:tc>
          <w:tcPr>
            <w:tcW w:w="844" w:type="dxa"/>
            <w:vAlign w:val="center"/>
          </w:tcPr>
          <w:p>
            <w:pPr>
              <w:pStyle w:val="0"/>
              <w:jc w:val="center"/>
            </w:pPr>
            <w:r>
              <w:rPr>
                <w:sz w:val="20"/>
              </w:rPr>
              <w:t xml:space="preserve">3,39</w:t>
            </w:r>
          </w:p>
        </w:tc>
        <w:tc>
          <w:tcPr>
            <w:tcW w:w="844" w:type="dxa"/>
            <w:vAlign w:val="center"/>
          </w:tcPr>
          <w:p>
            <w:pPr>
              <w:pStyle w:val="0"/>
              <w:jc w:val="center"/>
            </w:pPr>
            <w:r>
              <w:rPr>
                <w:sz w:val="20"/>
              </w:rPr>
              <w:t xml:space="preserve">3,4</w:t>
            </w:r>
          </w:p>
        </w:tc>
        <w:tc>
          <w:tcPr>
            <w:tcW w:w="844" w:type="dxa"/>
            <w:vAlign w:val="center"/>
          </w:tcPr>
          <w:p>
            <w:pPr>
              <w:pStyle w:val="0"/>
              <w:jc w:val="center"/>
            </w:pPr>
            <w:r>
              <w:rPr>
                <w:sz w:val="20"/>
              </w:rPr>
              <w:t xml:space="preserve">3,41</w:t>
            </w:r>
          </w:p>
        </w:tc>
      </w:tr>
      <w:tr>
        <w:tc>
          <w:tcPr>
            <w:tcW w:w="544" w:type="dxa"/>
            <w:vAlign w:val="center"/>
          </w:tcPr>
          <w:p>
            <w:pPr>
              <w:pStyle w:val="0"/>
              <w:jc w:val="center"/>
            </w:pPr>
            <w:r>
              <w:rPr>
                <w:sz w:val="20"/>
              </w:rPr>
              <w:t xml:space="preserve">6.1</w:t>
            </w:r>
          </w:p>
        </w:tc>
        <w:tc>
          <w:tcPr>
            <w:tcW w:w="2359" w:type="dxa"/>
            <w:vAlign w:val="center"/>
          </w:tcPr>
          <w:p>
            <w:pPr>
              <w:pStyle w:val="0"/>
              <w:jc w:val="center"/>
            </w:pPr>
            <w:r>
              <w:rPr>
                <w:sz w:val="20"/>
              </w:rPr>
              <w:t xml:space="preserve">Основное мероприятие 5.1 "Организация, регулирование и охрана водных биологических ресурсов на территории Белгородской области"</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5.1.1. Доля проведенных рыбохозяйственных мероприятий от установленного перечня рыбохозяйственных мероприятий, проводимых за счет субвенций,</w:t>
            </w:r>
          </w:p>
          <w:p>
            <w:pPr>
              <w:pStyle w:val="0"/>
              <w:jc w:val="center"/>
            </w:pPr>
            <w:r>
              <w:rPr>
                <w:sz w:val="20"/>
              </w:rPr>
              <w:t xml:space="preserve">процентов</w:t>
            </w:r>
          </w:p>
        </w:tc>
        <w:tc>
          <w:tcPr>
            <w:tcW w:w="844" w:type="dxa"/>
            <w:vAlign w:val="center"/>
          </w:tcPr>
          <w:p>
            <w:pPr>
              <w:pStyle w:val="0"/>
              <w:jc w:val="center"/>
            </w:pPr>
            <w:r>
              <w:rPr>
                <w:sz w:val="20"/>
              </w:rPr>
              <w:t xml:space="preserve">12,5</w:t>
            </w:r>
          </w:p>
        </w:tc>
        <w:tc>
          <w:tcPr>
            <w:tcW w:w="844" w:type="dxa"/>
            <w:vAlign w:val="center"/>
          </w:tcPr>
          <w:p>
            <w:pPr>
              <w:pStyle w:val="0"/>
              <w:jc w:val="center"/>
            </w:pPr>
            <w:r>
              <w:rPr>
                <w:sz w:val="20"/>
              </w:rPr>
              <w:t xml:space="preserve">12,5</w:t>
            </w:r>
          </w:p>
        </w:tc>
        <w:tc>
          <w:tcPr>
            <w:tcW w:w="844" w:type="dxa"/>
            <w:vAlign w:val="center"/>
          </w:tcPr>
          <w:p>
            <w:pPr>
              <w:pStyle w:val="0"/>
              <w:jc w:val="center"/>
            </w:pPr>
            <w:r>
              <w:rPr>
                <w:sz w:val="20"/>
              </w:rPr>
              <w:t xml:space="preserve">12,5</w:t>
            </w:r>
          </w:p>
        </w:tc>
        <w:tc>
          <w:tcPr>
            <w:tcW w:w="844" w:type="dxa"/>
            <w:vAlign w:val="center"/>
          </w:tcPr>
          <w:p>
            <w:pPr>
              <w:pStyle w:val="0"/>
              <w:jc w:val="center"/>
            </w:pPr>
            <w:r>
              <w:rPr>
                <w:sz w:val="20"/>
              </w:rPr>
              <w:t xml:space="preserve">12,5</w:t>
            </w:r>
          </w:p>
        </w:tc>
        <w:tc>
          <w:tcPr>
            <w:tcW w:w="844" w:type="dxa"/>
            <w:vAlign w:val="center"/>
          </w:tcPr>
          <w:p>
            <w:pPr>
              <w:pStyle w:val="0"/>
              <w:jc w:val="center"/>
            </w:pPr>
            <w:r>
              <w:rPr>
                <w:sz w:val="20"/>
              </w:rPr>
              <w:t xml:space="preserve">12,5</w:t>
            </w:r>
          </w:p>
        </w:tc>
      </w:tr>
      <w:tr>
        <w:tc>
          <w:tcPr>
            <w:tcW w:w="544" w:type="dxa"/>
            <w:vAlign w:val="center"/>
          </w:tcPr>
          <w:p>
            <w:pPr>
              <w:pStyle w:val="0"/>
              <w:jc w:val="center"/>
            </w:pPr>
            <w:r>
              <w:rPr>
                <w:sz w:val="20"/>
              </w:rPr>
              <w:t xml:space="preserve">6.2</w:t>
            </w:r>
          </w:p>
        </w:tc>
        <w:tc>
          <w:tcPr>
            <w:tcW w:w="2359" w:type="dxa"/>
            <w:vAlign w:val="center"/>
          </w:tcPr>
          <w:p>
            <w:pPr>
              <w:pStyle w:val="0"/>
              <w:jc w:val="center"/>
            </w:pPr>
            <w:r>
              <w:rPr>
                <w:sz w:val="20"/>
              </w:rPr>
              <w:t xml:space="preserve">Основное мероприятие 5.2 "Поддержка любительского рыболовства и охрана водных биоресурсов на территории Белгородской области"</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5.2.1. Площадь водных объектов для проведения государственного мониторинга состояния водных биологических ресурсов, га</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c>
          <w:tcPr>
            <w:tcW w:w="844" w:type="dxa"/>
            <w:vAlign w:val="center"/>
          </w:tcPr>
          <w:p>
            <w:pPr>
              <w:pStyle w:val="0"/>
              <w:jc w:val="center"/>
            </w:pPr>
            <w:r>
              <w:rPr>
                <w:sz w:val="20"/>
              </w:rPr>
              <w:t xml:space="preserve">0,12</w:t>
            </w:r>
          </w:p>
        </w:tc>
      </w:tr>
      <w:tr>
        <w:tc>
          <w:tcPr>
            <w:tcW w:w="544" w:type="dxa"/>
            <w:vAlign w:val="center"/>
          </w:tcPr>
          <w:p>
            <w:pPr>
              <w:pStyle w:val="0"/>
              <w:jc w:val="center"/>
            </w:pPr>
            <w:r>
              <w:rPr>
                <w:sz w:val="20"/>
              </w:rPr>
              <w:t xml:space="preserve">7</w:t>
            </w:r>
          </w:p>
        </w:tc>
        <w:tc>
          <w:tcPr>
            <w:tcW w:w="2359" w:type="dxa"/>
            <w:vAlign w:val="center"/>
          </w:tcPr>
          <w:p>
            <w:pPr>
              <w:pStyle w:val="0"/>
              <w:jc w:val="center"/>
            </w:pPr>
            <w:r>
              <w:rPr>
                <w:sz w:val="20"/>
              </w:rPr>
              <w:t xml:space="preserve">Подпрограмма 6 "Обеспечение реализации государственной программы"</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Уровень достижения показателей государственной программы, процентов</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r>
      <w:tr>
        <w:tc>
          <w:tcPr>
            <w:tcW w:w="544" w:type="dxa"/>
            <w:vAlign w:val="center"/>
            <w:vMerge w:val="restart"/>
          </w:tcPr>
          <w:p>
            <w:pPr>
              <w:pStyle w:val="0"/>
              <w:jc w:val="center"/>
            </w:pPr>
            <w:r>
              <w:rPr>
                <w:sz w:val="20"/>
              </w:rPr>
              <w:t xml:space="preserve">7.1</w:t>
            </w:r>
          </w:p>
        </w:tc>
        <w:tc>
          <w:tcPr>
            <w:tcW w:w="2359" w:type="dxa"/>
            <w:vAlign w:val="center"/>
            <w:vMerge w:val="restart"/>
          </w:tcPr>
          <w:p>
            <w:pPr>
              <w:pStyle w:val="0"/>
              <w:jc w:val="center"/>
            </w:pPr>
            <w:r>
              <w:rPr>
                <w:sz w:val="20"/>
              </w:rPr>
              <w:t xml:space="preserve">Основное мероприятие 6.1 "Обеспечение функций органов власти Белгородской области, в том числе территориальных органов"</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6.1.1. Уровень достижения показателей подпрограмм 2, 3, 4, 5, 6 государственной программы, процентов</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c>
          <w:tcPr>
            <w:tcW w:w="844" w:type="dxa"/>
            <w:vAlign w:val="center"/>
          </w:tcPr>
          <w:p>
            <w:pPr>
              <w:pStyle w:val="0"/>
              <w:jc w:val="center"/>
            </w:pPr>
            <w:r>
              <w:rPr>
                <w:sz w:val="20"/>
              </w:rPr>
              <w:t xml:space="preserve">95</w:t>
            </w:r>
          </w:p>
        </w:tc>
      </w:tr>
      <w:tr>
        <w:tc>
          <w:tcPr>
            <w:vMerge w:val="continue"/>
          </w:tcPr>
          <w:p/>
        </w:tc>
        <w:tc>
          <w:tcPr>
            <w:vMerge w:val="continue"/>
          </w:tcPr>
          <w:p/>
        </w:tc>
        <w:tc>
          <w:tcPr>
            <w:tcW w:w="2041" w:type="dxa"/>
            <w:vAlign w:val="center"/>
          </w:tcPr>
          <w:p>
            <w:pPr>
              <w:pStyle w:val="0"/>
              <w:jc w:val="center"/>
            </w:pPr>
            <w:r>
              <w:rPr>
                <w:sz w:val="20"/>
              </w:rPr>
              <w:t xml:space="preserve">Департамент строительства и транспорта Белгородской области</w:t>
            </w:r>
          </w:p>
        </w:tc>
        <w:tc>
          <w:tcPr>
            <w:tcW w:w="907" w:type="dxa"/>
            <w:vAlign w:val="center"/>
          </w:tcPr>
          <w:p>
            <w:pPr>
              <w:pStyle w:val="0"/>
              <w:jc w:val="center"/>
            </w:pPr>
            <w:r>
              <w:rPr>
                <w:sz w:val="20"/>
              </w:rPr>
              <w:t xml:space="preserve">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6.1.2. Количество объектов, капитально отремонтированных, единиц</w:t>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7.2</w:t>
            </w:r>
          </w:p>
        </w:tc>
        <w:tc>
          <w:tcPr>
            <w:tcW w:w="2359" w:type="dxa"/>
            <w:vAlign w:val="center"/>
          </w:tcPr>
          <w:p>
            <w:pPr>
              <w:pStyle w:val="0"/>
              <w:jc w:val="center"/>
            </w:pPr>
            <w:r>
              <w:rPr>
                <w:sz w:val="20"/>
              </w:rPr>
              <w:t xml:space="preserve">Основное мероприятие 6.2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2041"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907" w:type="dxa"/>
            <w:vAlign w:val="center"/>
          </w:tcPr>
          <w:p>
            <w:pPr>
              <w:pStyle w:val="0"/>
              <w:jc w:val="center"/>
            </w:pPr>
            <w:r>
              <w:rPr>
                <w:sz w:val="20"/>
              </w:rPr>
              <w:t xml:space="preserve">2014 - 2025</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Показатель 6.2.1. Уровень взыскаемости дел об административных правонарушениях, процентов</w:t>
            </w:r>
          </w:p>
        </w:tc>
        <w:tc>
          <w:tcPr>
            <w:tcW w:w="844" w:type="dxa"/>
            <w:vAlign w:val="center"/>
          </w:tcPr>
          <w:p>
            <w:pPr>
              <w:pStyle w:val="0"/>
              <w:jc w:val="center"/>
            </w:pPr>
            <w:r>
              <w:rPr>
                <w:sz w:val="20"/>
              </w:rPr>
              <w:t xml:space="preserve">71</w:t>
            </w:r>
          </w:p>
        </w:tc>
        <w:tc>
          <w:tcPr>
            <w:tcW w:w="844" w:type="dxa"/>
            <w:vAlign w:val="center"/>
          </w:tcPr>
          <w:p>
            <w:pPr>
              <w:pStyle w:val="0"/>
              <w:jc w:val="center"/>
            </w:pPr>
            <w:r>
              <w:rPr>
                <w:sz w:val="20"/>
              </w:rPr>
              <w:t xml:space="preserve">72</w:t>
            </w:r>
          </w:p>
        </w:tc>
        <w:tc>
          <w:tcPr>
            <w:tcW w:w="844" w:type="dxa"/>
            <w:vAlign w:val="center"/>
          </w:tcPr>
          <w:p>
            <w:pPr>
              <w:pStyle w:val="0"/>
              <w:jc w:val="center"/>
            </w:pPr>
            <w:r>
              <w:rPr>
                <w:sz w:val="20"/>
              </w:rPr>
              <w:t xml:space="preserve">73</w:t>
            </w:r>
          </w:p>
        </w:tc>
        <w:tc>
          <w:tcPr>
            <w:tcW w:w="844" w:type="dxa"/>
            <w:vAlign w:val="center"/>
          </w:tcPr>
          <w:p>
            <w:pPr>
              <w:pStyle w:val="0"/>
              <w:jc w:val="center"/>
            </w:pPr>
            <w:r>
              <w:rPr>
                <w:sz w:val="20"/>
              </w:rPr>
              <w:t xml:space="preserve">74</w:t>
            </w:r>
          </w:p>
        </w:tc>
        <w:tc>
          <w:tcPr>
            <w:tcW w:w="844" w:type="dxa"/>
            <w:vAlign w:val="center"/>
          </w:tcPr>
          <w:p>
            <w:pPr>
              <w:pStyle w:val="0"/>
              <w:jc w:val="center"/>
            </w:pPr>
            <w:r>
              <w:rPr>
                <w:sz w:val="20"/>
              </w:rPr>
              <w:t xml:space="preserve">75</w:t>
            </w:r>
          </w:p>
        </w:tc>
      </w:tr>
      <w:tr>
        <w:tc>
          <w:tcPr>
            <w:tcW w:w="544" w:type="dxa"/>
            <w:vAlign w:val="center"/>
            <w:vMerge w:val="restart"/>
          </w:tcPr>
          <w:p>
            <w:pPr>
              <w:pStyle w:val="0"/>
              <w:jc w:val="center"/>
            </w:pPr>
            <w:r>
              <w:rPr>
                <w:sz w:val="20"/>
              </w:rPr>
              <w:t xml:space="preserve">8</w:t>
            </w:r>
          </w:p>
        </w:tc>
        <w:tc>
          <w:tcPr>
            <w:tcW w:w="2359" w:type="dxa"/>
            <w:vAlign w:val="center"/>
            <w:vMerge w:val="restart"/>
          </w:tcPr>
          <w:p>
            <w:pPr>
              <w:pStyle w:val="0"/>
              <w:jc w:val="center"/>
            </w:pPr>
            <w:r>
              <w:rPr>
                <w:sz w:val="20"/>
              </w:rPr>
              <w:t xml:space="preserve">Подпрограмма 7 "Обращение с твердыми коммунальными отходами на территории Белгородской области"</w:t>
            </w:r>
          </w:p>
        </w:tc>
        <w:tc>
          <w:tcPr>
            <w:tcW w:w="2041" w:type="dxa"/>
            <w:vAlign w:val="center"/>
          </w:tcPr>
          <w:p>
            <w:pPr>
              <w:pStyle w:val="0"/>
              <w:jc w:val="center"/>
            </w:pPr>
            <w:r>
              <w:rPr>
                <w:sz w:val="20"/>
              </w:rPr>
              <w:t xml:space="preserve">Департамент жилищно-коммунального хозяйства Белгородской области</w:t>
            </w: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Проведение мероприятий по эколого-просветительской и образовательной деятельности, единиц</w:t>
            </w:r>
          </w:p>
        </w:tc>
        <w:tc>
          <w:tcPr>
            <w:tcW w:w="844" w:type="dxa"/>
            <w:vAlign w:val="center"/>
          </w:tcPr>
          <w:p>
            <w:pPr>
              <w:pStyle w:val="0"/>
              <w:jc w:val="center"/>
            </w:pPr>
            <w:r>
              <w:rPr>
                <w:sz w:val="20"/>
              </w:rPr>
              <w:t xml:space="preserve">12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Проведение мероприятий по эколого-просветительской и образовательной деятельности, единиц</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12</w:t>
            </w:r>
          </w:p>
        </w:tc>
        <w:tc>
          <w:tcPr>
            <w:tcW w:w="844" w:type="dxa"/>
            <w:vAlign w:val="center"/>
          </w:tcPr>
          <w:p>
            <w:pPr>
              <w:pStyle w:val="0"/>
              <w:jc w:val="center"/>
            </w:pPr>
            <w:r>
              <w:rPr>
                <w:sz w:val="20"/>
              </w:rPr>
              <w:t xml:space="preserve">12</w:t>
            </w:r>
          </w:p>
        </w:tc>
        <w:tc>
          <w:tcPr>
            <w:tcW w:w="844" w:type="dxa"/>
            <w:vAlign w:val="center"/>
          </w:tcPr>
          <w:p>
            <w:pPr>
              <w:pStyle w:val="0"/>
              <w:jc w:val="center"/>
            </w:pPr>
            <w:r>
              <w:rPr>
                <w:sz w:val="20"/>
              </w:rPr>
              <w:t xml:space="preserve">12</w:t>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8.1</w:t>
            </w:r>
          </w:p>
        </w:tc>
        <w:tc>
          <w:tcPr>
            <w:tcW w:w="2359" w:type="dxa"/>
            <w:vAlign w:val="center"/>
            <w:vMerge w:val="restart"/>
          </w:tcPr>
          <w:p>
            <w:pPr>
              <w:pStyle w:val="0"/>
              <w:jc w:val="center"/>
            </w:pPr>
            <w:r>
              <w:rPr>
                <w:sz w:val="20"/>
              </w:rPr>
              <w:t xml:space="preserve">Основное мероприятие 7.1 "Создание эффективных механизмов управления в отрасли обращения с твердыми коммунальными отходами"</w:t>
            </w:r>
          </w:p>
        </w:tc>
        <w:tc>
          <w:tcPr>
            <w:tcW w:w="2041" w:type="dxa"/>
            <w:vAlign w:val="center"/>
          </w:tcPr>
          <w:p>
            <w:pPr>
              <w:pStyle w:val="0"/>
              <w:jc w:val="center"/>
            </w:pPr>
            <w:r>
              <w:rPr>
                <w:sz w:val="20"/>
              </w:rPr>
              <w:t xml:space="preserve">Департамент жилищно-коммунального хозяйства Белгородской области</w:t>
            </w:r>
          </w:p>
        </w:tc>
        <w:tc>
          <w:tcPr>
            <w:tcW w:w="907" w:type="dxa"/>
            <w:vAlign w:val="center"/>
          </w:tcPr>
          <w:p>
            <w:pPr>
              <w:pStyle w:val="0"/>
              <w:jc w:val="center"/>
            </w:pPr>
            <w:r>
              <w:rPr>
                <w:sz w:val="20"/>
              </w:rPr>
              <w:t xml:space="preserve">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публикаций в средствах массовой информации о формировании новой системы обращения с отходами, единиц</w:t>
            </w:r>
          </w:p>
        </w:tc>
        <w:tc>
          <w:tcPr>
            <w:tcW w:w="844" w:type="dxa"/>
            <w:vAlign w:val="center"/>
          </w:tcPr>
          <w:p>
            <w:pPr>
              <w:pStyle w:val="0"/>
              <w:jc w:val="center"/>
            </w:pPr>
            <w:r>
              <w:rPr>
                <w:sz w:val="20"/>
              </w:rPr>
              <w:t xml:space="preserve">60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публикаций в средствах массовой информации о формировании новой системы обращения с отходами, единиц</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60</w:t>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8.2</w:t>
            </w:r>
          </w:p>
        </w:tc>
        <w:tc>
          <w:tcPr>
            <w:tcW w:w="2359" w:type="dxa"/>
            <w:vAlign w:val="center"/>
            <w:vMerge w:val="restart"/>
          </w:tcPr>
          <w:p>
            <w:pPr>
              <w:pStyle w:val="0"/>
              <w:jc w:val="center"/>
            </w:pPr>
            <w:r>
              <w:rPr>
                <w:sz w:val="20"/>
              </w:rPr>
              <w:t xml:space="preserve">Мероприятие 7.1.6 "Организация информирования граждан о формировании новой системы обращения с отходами"</w:t>
            </w:r>
          </w:p>
        </w:tc>
        <w:tc>
          <w:tcPr>
            <w:tcW w:w="2041" w:type="dxa"/>
            <w:vAlign w:val="center"/>
          </w:tcPr>
          <w:p>
            <w:pPr>
              <w:pStyle w:val="0"/>
              <w:jc w:val="center"/>
            </w:pPr>
            <w:r>
              <w:rPr>
                <w:sz w:val="20"/>
              </w:rPr>
              <w:t xml:space="preserve">Департамент жилищно-коммунального хозяйства Белгородской области</w:t>
            </w:r>
          </w:p>
        </w:tc>
        <w:tc>
          <w:tcPr>
            <w:tcW w:w="907" w:type="dxa"/>
            <w:vAlign w:val="center"/>
          </w:tcPr>
          <w:p>
            <w:pPr>
              <w:pStyle w:val="0"/>
              <w:jc w:val="center"/>
            </w:pPr>
            <w:r>
              <w:rPr>
                <w:sz w:val="20"/>
              </w:rPr>
              <w:t xml:space="preserve">2019 - 2021</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публикаций в средствах массовой информации</w:t>
            </w:r>
          </w:p>
          <w:p>
            <w:pPr>
              <w:pStyle w:val="0"/>
              <w:jc w:val="center"/>
            </w:pPr>
            <w:r>
              <w:rPr>
                <w:sz w:val="20"/>
              </w:rPr>
              <w:t xml:space="preserve">о формировании новой системы обращения с отходами, единиц</w:t>
            </w:r>
          </w:p>
        </w:tc>
        <w:tc>
          <w:tcPr>
            <w:tcW w:w="844" w:type="dxa"/>
            <w:vAlign w:val="center"/>
          </w:tcPr>
          <w:p>
            <w:pPr>
              <w:pStyle w:val="0"/>
              <w:jc w:val="center"/>
            </w:pPr>
            <w:r>
              <w:rPr>
                <w:sz w:val="20"/>
              </w:rPr>
              <w:t xml:space="preserve">60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tcW w:w="2041" w:type="dxa"/>
            <w:vAlign w:val="center"/>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публикаций в средствах массовой информации о формировании новой системы обращения с отходами, единиц</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60</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8.3</w:t>
            </w:r>
          </w:p>
        </w:tc>
        <w:tc>
          <w:tcPr>
            <w:tcW w:w="2359" w:type="dxa"/>
            <w:vAlign w:val="center"/>
          </w:tcPr>
          <w:p>
            <w:pPr>
              <w:pStyle w:val="0"/>
              <w:jc w:val="center"/>
            </w:pPr>
            <w:r>
              <w:rPr>
                <w:sz w:val="20"/>
              </w:rPr>
              <w:t xml:space="preserve">Основное мероприятие 7.2 "Выполнение работ по корректировке территориальной схемы обращения с отходами Белгородской области и актуализации ее электронной модели"</w:t>
            </w:r>
          </w:p>
        </w:tc>
        <w:tc>
          <w:tcPr>
            <w:tcW w:w="2041" w:type="dxa"/>
            <w:vAlign w:val="center"/>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2023</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актуализированных электронных моделей территориальной схемы, единиц</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vMerge w:val="restart"/>
          </w:tcPr>
          <w:p>
            <w:pPr>
              <w:pStyle w:val="0"/>
              <w:jc w:val="center"/>
            </w:pPr>
            <w:r>
              <w:rPr>
                <w:sz w:val="20"/>
              </w:rPr>
              <w:t xml:space="preserve">8.4</w:t>
            </w:r>
          </w:p>
        </w:tc>
        <w:tc>
          <w:tcPr>
            <w:tcW w:w="2359" w:type="dxa"/>
            <w:vAlign w:val="center"/>
            <w:vMerge w:val="restart"/>
          </w:tcPr>
          <w:p>
            <w:pPr>
              <w:pStyle w:val="0"/>
              <w:jc w:val="center"/>
            </w:pPr>
            <w:r>
              <w:rPr>
                <w:sz w:val="20"/>
              </w:rPr>
              <w:t xml:space="preserve">Основное мероприятие 7.3 "Субсидии на разработку проектно-сметной документации на рекультивацию объектов накопленного вреда окружающей среде"</w:t>
            </w:r>
          </w:p>
        </w:tc>
        <w:tc>
          <w:tcPr>
            <w:tcW w:w="2041" w:type="dxa"/>
            <w:vAlign w:val="center"/>
            <w:vMerge w:val="restart"/>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2020 - 2023</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разработанной проектно-сметной документации, единиц</w:t>
            </w:r>
          </w:p>
        </w:tc>
        <w:tc>
          <w:tcPr>
            <w:tcW w:w="844" w:type="dxa"/>
            <w:vAlign w:val="center"/>
          </w:tcPr>
          <w:p>
            <w:pPr>
              <w:pStyle w:val="0"/>
              <w:jc w:val="center"/>
            </w:pPr>
            <w:r>
              <w:rPr>
                <w:sz w:val="20"/>
              </w:rPr>
              <w:t xml:space="preserve">8</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w:t>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vMerge w:val="continue"/>
          </w:tcPr>
          <w:p/>
        </w:tc>
        <w:tc>
          <w:tcPr>
            <w:vMerge w:val="continue"/>
          </w:tcPr>
          <w:p/>
        </w:tc>
        <w:tc>
          <w:tcPr>
            <w:vMerge w:val="continue"/>
          </w:tcPr>
          <w:p/>
        </w:tc>
        <w:tc>
          <w:tcPr>
            <w:tcW w:w="907" w:type="dxa"/>
            <w:vAlign w:val="center"/>
          </w:tcPr>
          <w:p>
            <w:pPr>
              <w:pStyle w:val="0"/>
              <w:jc w:val="center"/>
            </w:pPr>
            <w:r>
              <w:rPr>
                <w:sz w:val="20"/>
              </w:rPr>
              <w:t xml:space="preserve">2020 - 2022</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разработанной проектно-сметной документации, единиц</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8.5</w:t>
            </w:r>
          </w:p>
        </w:tc>
        <w:tc>
          <w:tcPr>
            <w:tcW w:w="2359" w:type="dxa"/>
            <w:vAlign w:val="center"/>
            <w:vMerge w:val="restart"/>
          </w:tcPr>
          <w:p>
            <w:pPr>
              <w:pStyle w:val="0"/>
              <w:jc w:val="center"/>
            </w:pPr>
            <w:r>
              <w:rPr>
                <w:sz w:val="20"/>
              </w:rPr>
              <w:t xml:space="preserve">Проект 7.G1</w:t>
            </w:r>
          </w:p>
          <w:p>
            <w:pPr>
              <w:pStyle w:val="0"/>
              <w:jc w:val="center"/>
            </w:pPr>
            <w:r>
              <w:rPr>
                <w:sz w:val="20"/>
              </w:rPr>
              <w:t xml:space="preserve">"Чистая страна"</w:t>
            </w:r>
          </w:p>
        </w:tc>
        <w:tc>
          <w:tcPr>
            <w:tcW w:w="2041" w:type="dxa"/>
            <w:vAlign w:val="center"/>
            <w:vMerge w:val="restart"/>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2023</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ликвидированных несанкционированных свалок в границах городов, единиц</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21</w:t>
            </w:r>
          </w:p>
        </w:tc>
        <w:tc>
          <w:tcPr>
            <w:tcW w:w="844" w:type="dxa"/>
            <w:vAlign w:val="center"/>
          </w:tcPr>
          <w:p>
            <w:pPr>
              <w:pStyle w:val="0"/>
              <w:jc w:val="center"/>
            </w:pPr>
            <w:r>
              <w:rPr>
                <w:sz w:val="20"/>
              </w:rPr>
              <w:t xml:space="preserve">11</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8.6</w:t>
            </w:r>
          </w:p>
        </w:tc>
        <w:tc>
          <w:tcPr>
            <w:vMerge w:val="continue"/>
          </w:tcPr>
          <w:p/>
        </w:tc>
        <w:tc>
          <w:tcPr>
            <w:vMerge w:val="continue"/>
          </w:tcPr>
          <w:p/>
        </w:tc>
        <w:tc>
          <w:tcPr>
            <w:tcW w:w="907" w:type="dxa"/>
            <w:vAlign w:val="center"/>
          </w:tcPr>
          <w:p>
            <w:pPr>
              <w:pStyle w:val="0"/>
              <w:jc w:val="center"/>
            </w:pPr>
            <w:r>
              <w:rPr>
                <w:sz w:val="20"/>
              </w:rPr>
              <w:t xml:space="preserve">2023 - 2024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Численность населения, качество жизни которого улучшится в связи с ликвидацией несанкционированных свалок в границах городов, тыс. человек</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6,5</w:t>
            </w:r>
          </w:p>
        </w:tc>
        <w:tc>
          <w:tcPr>
            <w:tcW w:w="844" w:type="dxa"/>
            <w:vAlign w:val="center"/>
          </w:tcPr>
          <w:p>
            <w:pPr>
              <w:pStyle w:val="0"/>
              <w:jc w:val="center"/>
            </w:pPr>
            <w:r>
              <w:rPr>
                <w:sz w:val="20"/>
              </w:rPr>
              <w:t xml:space="preserve">394,14</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8.7</w:t>
            </w:r>
          </w:p>
        </w:tc>
        <w:tc>
          <w:tcPr>
            <w:vMerge w:val="continue"/>
          </w:tcPr>
          <w:p/>
        </w:tc>
        <w:tc>
          <w:tcPr>
            <w:vMerge w:val="continue"/>
          </w:tcPr>
          <w:p/>
        </w:tc>
        <w:tc>
          <w:tcPr>
            <w:tcW w:w="907" w:type="dxa"/>
            <w:vAlign w:val="center"/>
          </w:tcPr>
          <w:p>
            <w:pPr>
              <w:pStyle w:val="0"/>
              <w:jc w:val="center"/>
            </w:pPr>
            <w:r>
              <w:rPr>
                <w:sz w:val="20"/>
              </w:rPr>
              <w:t xml:space="preserve">2019 - 2024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Общая площадь восстановленных, в том числе рекультивированных, земель, подверженных негативному воздействию накопленного вреда окружающей среде, га</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3,1</w:t>
            </w:r>
          </w:p>
        </w:tc>
        <w:tc>
          <w:tcPr>
            <w:tcW w:w="844" w:type="dxa"/>
            <w:vAlign w:val="center"/>
          </w:tcPr>
          <w:p>
            <w:pPr>
              <w:pStyle w:val="0"/>
              <w:jc w:val="center"/>
            </w:pPr>
            <w:r>
              <w:rPr>
                <w:sz w:val="20"/>
              </w:rPr>
              <w:t xml:space="preserve">20,4</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8.8</w:t>
            </w:r>
          </w:p>
        </w:tc>
        <w:tc>
          <w:tcPr>
            <w:tcW w:w="2359" w:type="dxa"/>
            <w:vAlign w:val="center"/>
            <w:vMerge w:val="restart"/>
          </w:tcPr>
          <w:p>
            <w:pPr>
              <w:pStyle w:val="0"/>
              <w:jc w:val="center"/>
            </w:pPr>
            <w:r>
              <w:rPr>
                <w:sz w:val="20"/>
              </w:rPr>
              <w:t xml:space="preserve">Проект 7.G2</w:t>
            </w:r>
          </w:p>
          <w:p>
            <w:pPr>
              <w:pStyle w:val="0"/>
              <w:jc w:val="center"/>
            </w:pPr>
            <w:r>
              <w:rPr>
                <w:sz w:val="20"/>
              </w:rPr>
              <w:t xml:space="preserve">"Комплексная система обращения с твердыми коммунальными отходами"</w:t>
            </w:r>
          </w:p>
        </w:tc>
        <w:tc>
          <w:tcPr>
            <w:tcW w:w="2041" w:type="dxa"/>
            <w:vAlign w:val="center"/>
            <w:vMerge w:val="restart"/>
          </w:tcPr>
          <w:p>
            <w:pPr>
              <w:pStyle w:val="0"/>
              <w:jc w:val="center"/>
            </w:pPr>
            <w:r>
              <w:rPr>
                <w:sz w:val="20"/>
              </w:rPr>
              <w:t xml:space="preserve">Департамент жилищно-коммунального хозяйства Белгородской области</w:t>
            </w: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Введение в промышленную эксплуатацию мощности по утилизации ТКО, млн тонн</w:t>
            </w:r>
          </w:p>
        </w:tc>
        <w:tc>
          <w:tcPr>
            <w:tcW w:w="844" w:type="dxa"/>
            <w:vAlign w:val="center"/>
          </w:tcPr>
          <w:p>
            <w:pPr>
              <w:pStyle w:val="0"/>
              <w:jc w:val="center"/>
            </w:pPr>
            <w:r>
              <w:rPr>
                <w:sz w:val="20"/>
              </w:rPr>
              <w:t xml:space="preserve">0,0186</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8.9</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Введение в промышленную эксплуатацию мощности по обработке (сортировке) ТКО, млн тонн</w:t>
            </w:r>
          </w:p>
        </w:tc>
        <w:tc>
          <w:tcPr>
            <w:tcW w:w="844" w:type="dxa"/>
            <w:vAlign w:val="center"/>
          </w:tcPr>
          <w:p>
            <w:pPr>
              <w:pStyle w:val="0"/>
              <w:jc w:val="center"/>
            </w:pPr>
            <w:r>
              <w:rPr>
                <w:sz w:val="20"/>
              </w:rPr>
              <w:t xml:space="preserve">0,15</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8.10</w:t>
            </w:r>
          </w:p>
        </w:tc>
        <w:tc>
          <w:tcPr>
            <w:vMerge w:val="continue"/>
          </w:tcPr>
          <w:p/>
        </w:tc>
        <w:tc>
          <w:tcPr>
            <w:vMerge w:val="continue"/>
          </w:tcPr>
          <w:p/>
        </w:tc>
        <w:tc>
          <w:tcPr>
            <w:tcW w:w="907" w:type="dxa"/>
            <w:vAlign w:val="center"/>
          </w:tcPr>
          <w:p>
            <w:pPr>
              <w:pStyle w:val="0"/>
              <w:jc w:val="center"/>
            </w:pPr>
            <w:r>
              <w:rPr>
                <w:sz w:val="20"/>
              </w:rPr>
              <w:t xml:space="preserve">2019 - 2024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твердых коммунальных отходов, направленных на обработку (сортировку), в общей массе образованных твердых коммунальных отходов, процентов</w:t>
            </w:r>
          </w:p>
        </w:tc>
        <w:tc>
          <w:tcPr>
            <w:tcW w:w="844" w:type="dxa"/>
            <w:vAlign w:val="center"/>
          </w:tcPr>
          <w:p>
            <w:pPr>
              <w:pStyle w:val="0"/>
              <w:jc w:val="center"/>
            </w:pPr>
            <w:r>
              <w:rPr>
                <w:sz w:val="20"/>
              </w:rPr>
              <w:t xml:space="preserve">50,2</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8.11</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направленных на утилизацию отходов, выделенных в результате раздельного накопления и обработки (сортировки) твердых коммунальных отходов, в общей массе образованных твердых коммунальных отходов, процентов</w:t>
            </w:r>
          </w:p>
        </w:tc>
        <w:tc>
          <w:tcPr>
            <w:tcW w:w="844" w:type="dxa"/>
            <w:vAlign w:val="center"/>
          </w:tcPr>
          <w:p>
            <w:pPr>
              <w:pStyle w:val="0"/>
              <w:jc w:val="center"/>
            </w:pPr>
            <w:r>
              <w:rPr>
                <w:sz w:val="20"/>
              </w:rPr>
              <w:t xml:space="preserve">3,7</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8.12</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Доля направленных на захоронение твердых коммунальных отходов, в том числе прошедших обработку (сортировку), в общей массе образованных твердых коммунальных отходов, процентов</w:t>
            </w:r>
          </w:p>
        </w:tc>
        <w:tc>
          <w:tcPr>
            <w:tcW w:w="844" w:type="dxa"/>
            <w:vAlign w:val="center"/>
          </w:tcPr>
          <w:p>
            <w:pPr>
              <w:pStyle w:val="0"/>
              <w:jc w:val="center"/>
            </w:pPr>
            <w:r>
              <w:rPr>
                <w:sz w:val="20"/>
              </w:rPr>
              <w:t xml:space="preserve">96,3</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8.13</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разработанных электронных моделей, процентов</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8.14</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Доля импорта оборудования для обработки и утилизации твердых коммунальных отходов, процентов</w:t>
            </w:r>
          </w:p>
        </w:tc>
        <w:tc>
          <w:tcPr>
            <w:tcW w:w="844" w:type="dxa"/>
            <w:vAlign w:val="center"/>
          </w:tcPr>
          <w:p>
            <w:pPr>
              <w:pStyle w:val="0"/>
              <w:jc w:val="center"/>
            </w:pPr>
            <w:r>
              <w:rPr>
                <w:sz w:val="20"/>
              </w:rPr>
              <w:t xml:space="preserve">39</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8.15</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населения, охваченного услугой по обращению с твердыми коммунальными отходами, процентов</w:t>
            </w:r>
          </w:p>
        </w:tc>
        <w:tc>
          <w:tcPr>
            <w:tcW w:w="844" w:type="dxa"/>
            <w:vAlign w:val="center"/>
          </w:tcPr>
          <w:p>
            <w:pPr>
              <w:pStyle w:val="0"/>
              <w:jc w:val="center"/>
            </w:pPr>
            <w:r>
              <w:rPr>
                <w:sz w:val="20"/>
              </w:rPr>
              <w:t xml:space="preserve">90</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8.16</w:t>
            </w:r>
          </w:p>
        </w:tc>
        <w:tc>
          <w:tcPr>
            <w:vMerge w:val="continue"/>
          </w:tcPr>
          <w:p/>
        </w:tc>
        <w:tc>
          <w:tcPr>
            <w:vMerge w:val="continue"/>
          </w:tcPr>
          <w:p/>
        </w:tc>
        <w:tc>
          <w:tcPr>
            <w:tcW w:w="907" w:type="dxa"/>
            <w:vAlign w:val="center"/>
          </w:tcPr>
          <w:p>
            <w:pPr>
              <w:pStyle w:val="0"/>
              <w:jc w:val="center"/>
            </w:pPr>
            <w:r>
              <w:rPr>
                <w:sz w:val="20"/>
              </w:rPr>
              <w:t xml:space="preserve">2021 - 2022</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закупленных контейнеров для раздельного накопления твердых коммунальных отходов, единиц</w:t>
            </w:r>
          </w:p>
        </w:tc>
        <w:tc>
          <w:tcPr>
            <w:tcW w:w="844" w:type="dxa"/>
            <w:vAlign w:val="center"/>
          </w:tcPr>
          <w:p>
            <w:pPr>
              <w:pStyle w:val="0"/>
              <w:jc w:val="center"/>
            </w:pPr>
            <w:r>
              <w:rPr>
                <w:sz w:val="20"/>
              </w:rPr>
              <w:t xml:space="preserve">547</w:t>
            </w:r>
          </w:p>
        </w:tc>
        <w:tc>
          <w:tcPr>
            <w:tcW w:w="844" w:type="dxa"/>
            <w:vAlign w:val="center"/>
          </w:tcPr>
          <w:p>
            <w:pPr>
              <w:pStyle w:val="0"/>
              <w:jc w:val="center"/>
            </w:pPr>
            <w:r>
              <w:rPr>
                <w:sz w:val="20"/>
              </w:rPr>
            </w:r>
          </w:p>
        </w:tc>
        <w:tc>
          <w:tcPr>
            <w:tcW w:w="844" w:type="dxa"/>
            <w:vAlign w:val="center"/>
          </w:tcPr>
          <w:p>
            <w:pPr>
              <w:pStyle w:val="0"/>
              <w:jc w:val="both"/>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8.17</w:t>
            </w:r>
          </w:p>
        </w:tc>
        <w:tc>
          <w:tcPr>
            <w:vMerge w:val="continue"/>
          </w:tcPr>
          <w:p/>
        </w:tc>
        <w:tc>
          <w:tcPr>
            <w:tcW w:w="2041" w:type="dxa"/>
            <w:vAlign w:val="center"/>
            <w:vMerge w:val="restart"/>
          </w:tcPr>
          <w:p>
            <w:pPr>
              <w:pStyle w:val="0"/>
              <w:jc w:val="center"/>
            </w:pPr>
            <w:r>
              <w:rPr>
                <w:sz w:val="20"/>
              </w:rPr>
              <w:t xml:space="preserve">Министерство жилищно-коммунального хозяйства Белгородской области</w:t>
            </w: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Введение в промышленную эксплуатацию мощности по утилизации ТКО, млн тонн</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0,0186</w:t>
            </w:r>
          </w:p>
        </w:tc>
        <w:tc>
          <w:tcPr>
            <w:tcW w:w="844" w:type="dxa"/>
            <w:vAlign w:val="center"/>
          </w:tcPr>
          <w:p>
            <w:pPr>
              <w:pStyle w:val="0"/>
              <w:jc w:val="both"/>
            </w:pPr>
            <w:r>
              <w:rPr>
                <w:sz w:val="20"/>
              </w:rPr>
              <w:t xml:space="preserve">0,0186</w:t>
            </w:r>
          </w:p>
        </w:tc>
        <w:tc>
          <w:tcPr>
            <w:tcW w:w="844" w:type="dxa"/>
            <w:vAlign w:val="center"/>
          </w:tcPr>
          <w:p>
            <w:pPr>
              <w:pStyle w:val="0"/>
              <w:jc w:val="center"/>
            </w:pPr>
            <w:r>
              <w:rPr>
                <w:sz w:val="20"/>
              </w:rPr>
              <w:t xml:space="preserve">0,0186</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8.18</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Введение в промышленную эксплуатацию мощности по обработке (сортировке) ТКО, млн тонн</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0,23</w:t>
            </w:r>
          </w:p>
        </w:tc>
        <w:tc>
          <w:tcPr>
            <w:tcW w:w="844" w:type="dxa"/>
            <w:vAlign w:val="center"/>
          </w:tcPr>
          <w:p>
            <w:pPr>
              <w:pStyle w:val="0"/>
              <w:jc w:val="center"/>
            </w:pPr>
            <w:r>
              <w:rPr>
                <w:sz w:val="20"/>
              </w:rPr>
              <w:t xml:space="preserve">0,23</w:t>
            </w:r>
          </w:p>
        </w:tc>
        <w:tc>
          <w:tcPr>
            <w:tcW w:w="844" w:type="dxa"/>
            <w:vAlign w:val="center"/>
          </w:tcPr>
          <w:p>
            <w:pPr>
              <w:pStyle w:val="0"/>
              <w:jc w:val="center"/>
            </w:pPr>
            <w:r>
              <w:rPr>
                <w:sz w:val="20"/>
              </w:rPr>
              <w:t xml:space="preserve">0,2466</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8.20</w:t>
            </w:r>
          </w:p>
        </w:tc>
        <w:tc>
          <w:tcPr>
            <w:vMerge w:val="continue"/>
          </w:tcPr>
          <w:p/>
        </w:tc>
        <w:tc>
          <w:tcPr>
            <w:vMerge w:val="continue"/>
          </w:tcPr>
          <w:p/>
        </w:tc>
        <w:tc>
          <w:tcPr>
            <w:tcW w:w="907" w:type="dxa"/>
            <w:vAlign w:val="center"/>
          </w:tcPr>
          <w:p>
            <w:pPr>
              <w:pStyle w:val="0"/>
              <w:jc w:val="center"/>
            </w:pPr>
            <w:r>
              <w:rPr>
                <w:sz w:val="20"/>
              </w:rPr>
              <w:t xml:space="preserve">2019 - 2024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твердых коммунальных отходов, направленных на обработку (сортировку), в общей массе образованных твердых коммунальных отходов,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61,6</w:t>
            </w:r>
          </w:p>
        </w:tc>
        <w:tc>
          <w:tcPr>
            <w:tcW w:w="844" w:type="dxa"/>
            <w:vAlign w:val="center"/>
          </w:tcPr>
          <w:p>
            <w:pPr>
              <w:pStyle w:val="0"/>
              <w:jc w:val="center"/>
            </w:pPr>
            <w:r>
              <w:rPr>
                <w:sz w:val="20"/>
              </w:rPr>
              <w:t xml:space="preserve">61,6</w:t>
            </w:r>
          </w:p>
        </w:tc>
        <w:tc>
          <w:tcPr>
            <w:tcW w:w="844" w:type="dxa"/>
            <w:vAlign w:val="center"/>
          </w:tcPr>
          <w:p>
            <w:pPr>
              <w:pStyle w:val="0"/>
              <w:jc w:val="center"/>
            </w:pPr>
            <w:r>
              <w:rPr>
                <w:sz w:val="20"/>
              </w:rPr>
              <w:t xml:space="preserve">61,6</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8.21</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направленных на утилизацию отходов, выделенных в результате раздельного накопления и обработки (сортировки) твердых коммунальных отходов, в общей массе образованных твердых коммунальных отходов,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4,9</w:t>
            </w:r>
          </w:p>
        </w:tc>
        <w:tc>
          <w:tcPr>
            <w:tcW w:w="844" w:type="dxa"/>
            <w:vAlign w:val="center"/>
          </w:tcPr>
          <w:p>
            <w:pPr>
              <w:pStyle w:val="0"/>
              <w:jc w:val="center"/>
            </w:pPr>
            <w:r>
              <w:rPr>
                <w:sz w:val="20"/>
              </w:rPr>
              <w:t xml:space="preserve">5,3</w:t>
            </w:r>
          </w:p>
        </w:tc>
        <w:tc>
          <w:tcPr>
            <w:tcW w:w="844" w:type="dxa"/>
            <w:vAlign w:val="center"/>
          </w:tcPr>
          <w:p>
            <w:pPr>
              <w:pStyle w:val="0"/>
              <w:jc w:val="center"/>
            </w:pPr>
            <w:r>
              <w:rPr>
                <w:sz w:val="20"/>
              </w:rPr>
              <w:t xml:space="preserve">5,3</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8.22</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Доля направленных на захоронение твердых коммунальных отходов, в том числе прошедших обработку (сортировку), в общей массе образованных твердых коммунальных отходов,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95,1</w:t>
            </w:r>
          </w:p>
        </w:tc>
        <w:tc>
          <w:tcPr>
            <w:tcW w:w="844" w:type="dxa"/>
            <w:vAlign w:val="center"/>
          </w:tcPr>
          <w:p>
            <w:pPr>
              <w:pStyle w:val="0"/>
              <w:jc w:val="center"/>
            </w:pPr>
            <w:r>
              <w:rPr>
                <w:sz w:val="20"/>
              </w:rPr>
              <w:t xml:space="preserve">94,7</w:t>
            </w:r>
          </w:p>
        </w:tc>
        <w:tc>
          <w:tcPr>
            <w:tcW w:w="844" w:type="dxa"/>
            <w:vAlign w:val="center"/>
          </w:tcPr>
          <w:p>
            <w:pPr>
              <w:pStyle w:val="0"/>
              <w:jc w:val="center"/>
            </w:pPr>
            <w:r>
              <w:rPr>
                <w:sz w:val="20"/>
              </w:rPr>
              <w:t xml:space="preserve">94,7</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8.23</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Доля разработанных электронных моделей,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t xml:space="preserve">100</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8.24</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регрессирующий</w:t>
            </w:r>
          </w:p>
        </w:tc>
        <w:tc>
          <w:tcPr>
            <w:tcW w:w="2539" w:type="dxa"/>
            <w:vAlign w:val="center"/>
          </w:tcPr>
          <w:p>
            <w:pPr>
              <w:pStyle w:val="0"/>
              <w:jc w:val="center"/>
            </w:pPr>
            <w:r>
              <w:rPr>
                <w:sz w:val="20"/>
              </w:rPr>
              <w:t xml:space="preserve">Доля импорта оборудования для обработки и утилизации твердых коммунальных отходов, процентов</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38</w:t>
            </w:r>
          </w:p>
        </w:tc>
        <w:tc>
          <w:tcPr>
            <w:tcW w:w="844" w:type="dxa"/>
            <w:vAlign w:val="center"/>
          </w:tcPr>
          <w:p>
            <w:pPr>
              <w:pStyle w:val="0"/>
              <w:jc w:val="center"/>
            </w:pPr>
            <w:r>
              <w:rPr>
                <w:sz w:val="20"/>
              </w:rPr>
              <w:t xml:space="preserve">37</w:t>
            </w:r>
          </w:p>
        </w:tc>
        <w:tc>
          <w:tcPr>
            <w:tcW w:w="844" w:type="dxa"/>
            <w:vAlign w:val="center"/>
          </w:tcPr>
          <w:p>
            <w:pPr>
              <w:pStyle w:val="0"/>
              <w:jc w:val="center"/>
            </w:pPr>
            <w:r>
              <w:rPr>
                <w:sz w:val="20"/>
              </w:rPr>
              <w:t xml:space="preserve">36</w:t>
            </w:r>
          </w:p>
        </w:tc>
        <w:tc>
          <w:tcPr>
            <w:tcW w:w="844" w:type="dxa"/>
            <w:vAlign w:val="center"/>
          </w:tcPr>
          <w:p>
            <w:pPr>
              <w:pStyle w:val="0"/>
              <w:jc w:val="center"/>
            </w:pPr>
            <w:r>
              <w:rPr>
                <w:sz w:val="20"/>
              </w:rPr>
            </w:r>
          </w:p>
        </w:tc>
      </w:tr>
      <w:tr>
        <w:tc>
          <w:tcPr>
            <w:tcW w:w="544" w:type="dxa"/>
            <w:vAlign w:val="center"/>
          </w:tcPr>
          <w:p>
            <w:pPr>
              <w:pStyle w:val="0"/>
              <w:jc w:val="center"/>
            </w:pPr>
            <w:r>
              <w:rPr>
                <w:sz w:val="20"/>
              </w:rPr>
              <w:t xml:space="preserve">8.26</w:t>
            </w:r>
          </w:p>
        </w:tc>
        <w:tc>
          <w:tcPr>
            <w:vMerge w:val="continue"/>
          </w:tcPr>
          <w:p/>
        </w:tc>
        <w:tc>
          <w:tcPr>
            <w:vMerge w:val="continue"/>
          </w:tcPr>
          <w:p/>
        </w:tc>
        <w:tc>
          <w:tcPr>
            <w:tcW w:w="907" w:type="dxa"/>
            <w:vAlign w:val="center"/>
          </w:tcPr>
          <w:p>
            <w:pPr>
              <w:pStyle w:val="0"/>
              <w:jc w:val="center"/>
            </w:pPr>
            <w:r>
              <w:rPr>
                <w:sz w:val="20"/>
              </w:rPr>
              <w:t xml:space="preserve">2021 - 2024</w:t>
            </w:r>
          </w:p>
        </w:tc>
        <w:tc>
          <w:tcPr>
            <w:tcW w:w="964" w:type="dxa"/>
            <w:vAlign w:val="center"/>
          </w:tcPr>
          <w:p>
            <w:pPr>
              <w:pStyle w:val="0"/>
              <w:jc w:val="center"/>
            </w:pPr>
            <w:r>
              <w:rPr>
                <w:sz w:val="20"/>
              </w:rPr>
              <w:t xml:space="preserve">прогрессирующий</w:t>
            </w:r>
          </w:p>
        </w:tc>
        <w:tc>
          <w:tcPr>
            <w:tcW w:w="2539" w:type="dxa"/>
            <w:vAlign w:val="center"/>
          </w:tcPr>
          <w:p>
            <w:pPr>
              <w:pStyle w:val="0"/>
              <w:jc w:val="center"/>
            </w:pPr>
            <w:r>
              <w:rPr>
                <w:sz w:val="20"/>
              </w:rPr>
              <w:t xml:space="preserve">Количество закупленных контейнеров для раздельного накопления твердых коммунальных отходов, единиц</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1321</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3200</w:t>
            </w:r>
          </w:p>
        </w:tc>
        <w:tc>
          <w:tcPr>
            <w:tcW w:w="844" w:type="dxa"/>
            <w:vAlign w:val="center"/>
          </w:tcPr>
          <w:p>
            <w:pPr>
              <w:pStyle w:val="0"/>
              <w:jc w:val="center"/>
            </w:pPr>
            <w:r>
              <w:rPr>
                <w:sz w:val="20"/>
              </w:rPr>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2</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4123" w:name="P4123"/>
    <w:bookmarkEnd w:id="4123"/>
    <w:p>
      <w:pPr>
        <w:pStyle w:val="2"/>
        <w:jc w:val="center"/>
      </w:pPr>
      <w:r>
        <w:rPr>
          <w:sz w:val="20"/>
        </w:rPr>
        <w:t xml:space="preserve">Основные меры правового регулирования в сфере реализации</w:t>
      </w:r>
    </w:p>
    <w:p>
      <w:pPr>
        <w:pStyle w:val="2"/>
        <w:jc w:val="center"/>
      </w:pPr>
      <w:r>
        <w:rPr>
          <w:sz w:val="20"/>
        </w:rPr>
        <w:t xml:space="preserve">государственной программы Белгородской области "Развитие</w:t>
      </w:r>
    </w:p>
    <w:p>
      <w:pPr>
        <w:pStyle w:val="2"/>
        <w:jc w:val="center"/>
      </w:pPr>
      <w:r>
        <w:rPr>
          <w:sz w:val="20"/>
        </w:rPr>
        <w:t xml:space="preserve">водного и лесного хозяйства Белгородской области,</w:t>
      </w:r>
    </w:p>
    <w:p>
      <w:pPr>
        <w:pStyle w:val="2"/>
        <w:jc w:val="center"/>
      </w:pPr>
      <w:r>
        <w:rPr>
          <w:sz w:val="20"/>
        </w:rPr>
        <w:t xml:space="preserve">охрана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20.07.2020 </w:t>
            </w:r>
            <w:hyperlink w:history="0" r:id="rId193"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N 326-пп</w:t>
              </w:r>
            </w:hyperlink>
            <w:r>
              <w:rPr>
                <w:sz w:val="20"/>
                <w:color w:val="392c69"/>
              </w:rPr>
              <w:t xml:space="preserve">, от 17.01.2022 </w:t>
            </w:r>
            <w:hyperlink w:history="0" r:id="rId19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699"/>
        <w:gridCol w:w="2381"/>
        <w:gridCol w:w="2721"/>
        <w:gridCol w:w="1774"/>
      </w:tblGrid>
      <w:tr>
        <w:tc>
          <w:tcPr>
            <w:tcW w:w="454" w:type="dxa"/>
          </w:tcPr>
          <w:p>
            <w:pPr>
              <w:pStyle w:val="0"/>
              <w:jc w:val="center"/>
            </w:pPr>
            <w:r>
              <w:rPr>
                <w:sz w:val="20"/>
              </w:rPr>
              <w:t xml:space="preserve">N п/п</w:t>
            </w:r>
          </w:p>
        </w:tc>
        <w:tc>
          <w:tcPr>
            <w:tcW w:w="1699" w:type="dxa"/>
          </w:tcPr>
          <w:p>
            <w:pPr>
              <w:pStyle w:val="0"/>
              <w:jc w:val="center"/>
            </w:pPr>
            <w:r>
              <w:rPr>
                <w:sz w:val="20"/>
              </w:rPr>
              <w:t xml:space="preserve">Вид нормативного правового акта</w:t>
            </w:r>
          </w:p>
        </w:tc>
        <w:tc>
          <w:tcPr>
            <w:tcW w:w="2381" w:type="dxa"/>
          </w:tcPr>
          <w:p>
            <w:pPr>
              <w:pStyle w:val="0"/>
              <w:jc w:val="center"/>
            </w:pPr>
            <w:r>
              <w:rPr>
                <w:sz w:val="20"/>
              </w:rPr>
              <w:t xml:space="preserve">Основные положения нормативного правового акта</w:t>
            </w:r>
          </w:p>
        </w:tc>
        <w:tc>
          <w:tcPr>
            <w:tcW w:w="2721" w:type="dxa"/>
          </w:tcPr>
          <w:p>
            <w:pPr>
              <w:pStyle w:val="0"/>
              <w:jc w:val="center"/>
            </w:pPr>
            <w:r>
              <w:rPr>
                <w:sz w:val="20"/>
              </w:rPr>
              <w:t xml:space="preserve">Ответственный исполнитель и соисполнители</w:t>
            </w:r>
          </w:p>
        </w:tc>
        <w:tc>
          <w:tcPr>
            <w:tcW w:w="1774" w:type="dxa"/>
          </w:tcPr>
          <w:p>
            <w:pPr>
              <w:pStyle w:val="0"/>
              <w:jc w:val="center"/>
            </w:pPr>
            <w:r>
              <w:rPr>
                <w:sz w:val="20"/>
              </w:rPr>
              <w:t xml:space="preserve">Ожидаемые сроки принятия</w:t>
            </w:r>
          </w:p>
        </w:tc>
      </w:tr>
      <w:tr>
        <w:tc>
          <w:tcPr>
            <w:tcW w:w="454" w:type="dxa"/>
          </w:tcPr>
          <w:p>
            <w:pPr>
              <w:pStyle w:val="0"/>
              <w:jc w:val="center"/>
            </w:pPr>
            <w:r>
              <w:rPr>
                <w:sz w:val="20"/>
              </w:rPr>
              <w:t xml:space="preserve">1</w:t>
            </w:r>
          </w:p>
        </w:tc>
        <w:tc>
          <w:tcPr>
            <w:tcW w:w="1699" w:type="dxa"/>
          </w:tcPr>
          <w:p>
            <w:pPr>
              <w:pStyle w:val="0"/>
              <w:jc w:val="center"/>
            </w:pPr>
            <w:r>
              <w:rPr>
                <w:sz w:val="20"/>
              </w:rPr>
              <w:t xml:space="preserve">2</w:t>
            </w:r>
          </w:p>
        </w:tc>
        <w:tc>
          <w:tcPr>
            <w:tcW w:w="2381" w:type="dxa"/>
          </w:tcPr>
          <w:p>
            <w:pPr>
              <w:pStyle w:val="0"/>
              <w:jc w:val="center"/>
            </w:pPr>
            <w:r>
              <w:rPr>
                <w:sz w:val="20"/>
              </w:rPr>
              <w:t xml:space="preserve">3</w:t>
            </w:r>
          </w:p>
        </w:tc>
        <w:tc>
          <w:tcPr>
            <w:tcW w:w="2721" w:type="dxa"/>
          </w:tcPr>
          <w:p>
            <w:pPr>
              <w:pStyle w:val="0"/>
              <w:jc w:val="center"/>
            </w:pPr>
            <w:r>
              <w:rPr>
                <w:sz w:val="20"/>
              </w:rPr>
              <w:t xml:space="preserve">4</w:t>
            </w:r>
          </w:p>
        </w:tc>
        <w:tc>
          <w:tcPr>
            <w:tcW w:w="1774" w:type="dxa"/>
          </w:tcPr>
          <w:p>
            <w:pPr>
              <w:pStyle w:val="0"/>
              <w:jc w:val="center"/>
            </w:pPr>
            <w:r>
              <w:rPr>
                <w:sz w:val="20"/>
              </w:rPr>
              <w:t xml:space="preserve">5</w:t>
            </w:r>
          </w:p>
        </w:tc>
      </w:tr>
      <w:tr>
        <w:tc>
          <w:tcPr>
            <w:gridSpan w:val="5"/>
            <w:tcW w:w="9029" w:type="dxa"/>
          </w:tcPr>
          <w:p>
            <w:pPr>
              <w:pStyle w:val="0"/>
              <w:outlineLvl w:val="2"/>
              <w:jc w:val="center"/>
            </w:pPr>
            <w:r>
              <w:rPr>
                <w:sz w:val="20"/>
              </w:rPr>
              <w:t xml:space="preserve">Государственная программа Белгородской области "Развитие водного и лесного хозяйства Белгородской области, охрана окружающей среды"</w:t>
            </w:r>
          </w:p>
        </w:tc>
      </w:tr>
      <w:tr>
        <w:tblPrEx>
          <w:tblBorders>
            <w:insideH w:val="nil"/>
          </w:tblBorders>
        </w:tblPrEx>
        <w:tc>
          <w:tcPr>
            <w:tcW w:w="454" w:type="dxa"/>
            <w:tcBorders>
              <w:bottom w:val="nil"/>
            </w:tcBorders>
          </w:tcPr>
          <w:p>
            <w:pPr>
              <w:pStyle w:val="0"/>
              <w:jc w:val="center"/>
            </w:pPr>
            <w:r>
              <w:rPr>
                <w:sz w:val="20"/>
              </w:rPr>
              <w:t xml:space="preserve">1</w:t>
            </w:r>
          </w:p>
        </w:tc>
        <w:tc>
          <w:tcPr>
            <w:tcW w:w="1699" w:type="dxa"/>
            <w:tcBorders>
              <w:bottom w:val="nil"/>
            </w:tcBorders>
          </w:tcPr>
          <w:p>
            <w:pPr>
              <w:pStyle w:val="0"/>
              <w:jc w:val="center"/>
            </w:pPr>
            <w:r>
              <w:rPr>
                <w:sz w:val="20"/>
              </w:rPr>
              <w:t xml:space="preserve">Постановление Правительства области</w:t>
            </w:r>
          </w:p>
        </w:tc>
        <w:tc>
          <w:tcPr>
            <w:tcW w:w="2381" w:type="dxa"/>
            <w:tcBorders>
              <w:bottom w:val="nil"/>
            </w:tcBorders>
          </w:tcPr>
          <w:p>
            <w:pPr>
              <w:pStyle w:val="0"/>
              <w:jc w:val="center"/>
            </w:pPr>
            <w:r>
              <w:rPr>
                <w:sz w:val="20"/>
              </w:rPr>
              <w:t xml:space="preserve">Внесение изменений в государственную программу Белгородской области "Развитие водного и лесного хозяйства Белгородской области, охрана окружающей среды"</w:t>
            </w:r>
          </w:p>
        </w:tc>
        <w:tc>
          <w:tcPr>
            <w:tcW w:w="2721" w:type="dxa"/>
            <w:tcBorders>
              <w:bottom w:val="nil"/>
            </w:tcBorders>
          </w:tcPr>
          <w:p>
            <w:pPr>
              <w:pStyle w:val="0"/>
              <w:jc w:val="center"/>
            </w:pPr>
            <w:r>
              <w:rPr>
                <w:sz w:val="20"/>
              </w:rPr>
              <w:t xml:space="preserve">Министерство природопользования Белгородской области</w:t>
            </w:r>
          </w:p>
        </w:tc>
        <w:tc>
          <w:tcPr>
            <w:tcW w:w="1774" w:type="dxa"/>
            <w:tcBorders>
              <w:bottom w:val="nil"/>
            </w:tcBorders>
          </w:tcPr>
          <w:p>
            <w:pPr>
              <w:pStyle w:val="0"/>
              <w:jc w:val="center"/>
            </w:pPr>
            <w:r>
              <w:rPr>
                <w:sz w:val="20"/>
              </w:rPr>
              <w:t xml:space="preserve">Ежегодно, 2014 - 2025 годы</w:t>
            </w:r>
          </w:p>
        </w:tc>
      </w:tr>
      <w:tr>
        <w:tblPrEx>
          <w:tblBorders>
            <w:insideH w:val="nil"/>
          </w:tblBorders>
        </w:tblPrEx>
        <w:tc>
          <w:tcPr>
            <w:gridSpan w:val="5"/>
            <w:tcW w:w="9029" w:type="dxa"/>
            <w:tcBorders>
              <w:top w:val="nil"/>
            </w:tcBorders>
          </w:tcPr>
          <w:p>
            <w:pPr>
              <w:pStyle w:val="0"/>
              <w:jc w:val="both"/>
            </w:pPr>
            <w:r>
              <w:rPr>
                <w:sz w:val="20"/>
              </w:rPr>
              <w:t xml:space="preserve">(в ред. </w:t>
            </w:r>
            <w:hyperlink w:history="0" r:id="rId195"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c>
          <w:tcPr>
            <w:gridSpan w:val="5"/>
            <w:tcW w:w="9029" w:type="dxa"/>
          </w:tcPr>
          <w:p>
            <w:pPr>
              <w:pStyle w:val="0"/>
              <w:outlineLvl w:val="3"/>
              <w:jc w:val="center"/>
            </w:pPr>
            <w:r>
              <w:rPr>
                <w:sz w:val="20"/>
              </w:rPr>
              <w:t xml:space="preserve">Подпрограмма 1 "Развитие лесного хозяйства Белгородской области"</w:t>
            </w:r>
          </w:p>
        </w:tc>
      </w:tr>
      <w:tr>
        <w:tc>
          <w:tcPr>
            <w:gridSpan w:val="5"/>
            <w:tcW w:w="9029" w:type="dxa"/>
          </w:tcPr>
          <w:p>
            <w:pPr>
              <w:pStyle w:val="0"/>
              <w:jc w:val="center"/>
            </w:pPr>
            <w:r>
              <w:rPr>
                <w:sz w:val="20"/>
              </w:rPr>
              <w:t xml:space="preserve">Основное мероприятие 1.3 "Осуществление органами государственной власти Российской Федерации отдельных полномочий в области лесных отношений"</w:t>
            </w:r>
          </w:p>
        </w:tc>
      </w:tr>
      <w:tr>
        <w:tblPrEx>
          <w:tblBorders>
            <w:insideH w:val="nil"/>
          </w:tblBorders>
        </w:tblPrEx>
        <w:tc>
          <w:tcPr>
            <w:tcW w:w="454" w:type="dxa"/>
            <w:tcBorders>
              <w:bottom w:val="nil"/>
            </w:tcBorders>
          </w:tcPr>
          <w:p>
            <w:pPr>
              <w:pStyle w:val="0"/>
              <w:jc w:val="center"/>
            </w:pPr>
            <w:r>
              <w:rPr>
                <w:sz w:val="20"/>
              </w:rPr>
              <w:t xml:space="preserve">2</w:t>
            </w:r>
          </w:p>
        </w:tc>
        <w:tc>
          <w:tcPr>
            <w:tcW w:w="1699" w:type="dxa"/>
            <w:tcBorders>
              <w:bottom w:val="nil"/>
            </w:tcBorders>
          </w:tcPr>
          <w:p>
            <w:pPr>
              <w:pStyle w:val="0"/>
              <w:jc w:val="center"/>
            </w:pPr>
            <w:r>
              <w:rPr>
                <w:sz w:val="20"/>
              </w:rPr>
              <w:t xml:space="preserve">Сводный план</w:t>
            </w:r>
          </w:p>
        </w:tc>
        <w:tc>
          <w:tcPr>
            <w:tcW w:w="2381" w:type="dxa"/>
            <w:tcBorders>
              <w:bottom w:val="nil"/>
            </w:tcBorders>
          </w:tcPr>
          <w:p>
            <w:pPr>
              <w:pStyle w:val="0"/>
              <w:jc w:val="center"/>
            </w:pPr>
            <w:r>
              <w:rPr>
                <w:sz w:val="20"/>
              </w:rPr>
              <w:t xml:space="preserve">Об утверждении сводного плана тушения лесных пожаров на территории Белгородской области</w:t>
            </w:r>
          </w:p>
        </w:tc>
        <w:tc>
          <w:tcPr>
            <w:tcW w:w="2721" w:type="dxa"/>
            <w:tcBorders>
              <w:bottom w:val="nil"/>
            </w:tcBorders>
          </w:tcPr>
          <w:p>
            <w:pPr>
              <w:pStyle w:val="0"/>
              <w:jc w:val="center"/>
            </w:pPr>
            <w:r>
              <w:rPr>
                <w:sz w:val="20"/>
              </w:rPr>
              <w:t xml:space="preserve">Министерство природопользования Белгородской области</w:t>
            </w:r>
          </w:p>
        </w:tc>
        <w:tc>
          <w:tcPr>
            <w:tcW w:w="1774" w:type="dxa"/>
            <w:tcBorders>
              <w:bottom w:val="nil"/>
            </w:tcBorders>
          </w:tcPr>
          <w:p>
            <w:pPr>
              <w:pStyle w:val="0"/>
              <w:jc w:val="center"/>
            </w:pPr>
            <w:r>
              <w:rPr>
                <w:sz w:val="20"/>
              </w:rPr>
              <w:t xml:space="preserve">Ежегодно, 2014 - 2025 годы (по мере необходимости)</w:t>
            </w:r>
          </w:p>
        </w:tc>
      </w:tr>
      <w:tr>
        <w:tblPrEx>
          <w:tblBorders>
            <w:insideH w:val="nil"/>
          </w:tblBorders>
        </w:tblPrEx>
        <w:tc>
          <w:tcPr>
            <w:gridSpan w:val="5"/>
            <w:tcW w:w="9029" w:type="dxa"/>
            <w:tcBorders>
              <w:top w:val="nil"/>
            </w:tcBorders>
          </w:tcPr>
          <w:p>
            <w:pPr>
              <w:pStyle w:val="0"/>
              <w:jc w:val="both"/>
            </w:pPr>
            <w:r>
              <w:rPr>
                <w:sz w:val="20"/>
              </w:rPr>
              <w:t xml:space="preserve">(в ред. </w:t>
            </w:r>
            <w:hyperlink w:history="0" r:id="rId196"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blPrEx>
          <w:tblBorders>
            <w:insideH w:val="nil"/>
          </w:tblBorders>
        </w:tblPrEx>
        <w:tc>
          <w:tcPr>
            <w:tcW w:w="454" w:type="dxa"/>
            <w:tcBorders>
              <w:bottom w:val="nil"/>
            </w:tcBorders>
          </w:tcPr>
          <w:p>
            <w:pPr>
              <w:pStyle w:val="0"/>
              <w:jc w:val="center"/>
            </w:pPr>
            <w:r>
              <w:rPr>
                <w:sz w:val="20"/>
              </w:rPr>
              <w:t xml:space="preserve">3</w:t>
            </w:r>
          </w:p>
        </w:tc>
        <w:tc>
          <w:tcPr>
            <w:tcW w:w="1699" w:type="dxa"/>
            <w:tcBorders>
              <w:bottom w:val="nil"/>
            </w:tcBorders>
          </w:tcPr>
          <w:p>
            <w:pPr>
              <w:pStyle w:val="0"/>
              <w:jc w:val="center"/>
            </w:pPr>
            <w:r>
              <w:rPr>
                <w:sz w:val="20"/>
              </w:rPr>
              <w:t xml:space="preserve">Постановление Губернатора области</w:t>
            </w:r>
          </w:p>
        </w:tc>
        <w:tc>
          <w:tcPr>
            <w:tcW w:w="2381" w:type="dxa"/>
            <w:tcBorders>
              <w:bottom w:val="nil"/>
            </w:tcBorders>
          </w:tcPr>
          <w:p>
            <w:pPr>
              <w:pStyle w:val="0"/>
              <w:jc w:val="center"/>
            </w:pPr>
            <w:r>
              <w:rPr>
                <w:sz w:val="20"/>
              </w:rPr>
              <w:t xml:space="preserve">Об усилении охраны лесов области от пожаров</w:t>
            </w:r>
          </w:p>
        </w:tc>
        <w:tc>
          <w:tcPr>
            <w:tcW w:w="2721" w:type="dxa"/>
            <w:tcBorders>
              <w:bottom w:val="nil"/>
            </w:tcBorders>
          </w:tcPr>
          <w:p>
            <w:pPr>
              <w:pStyle w:val="0"/>
              <w:jc w:val="center"/>
            </w:pPr>
            <w:r>
              <w:rPr>
                <w:sz w:val="20"/>
              </w:rPr>
              <w:t xml:space="preserve">Министерство природопользования Белгородской области</w:t>
            </w:r>
          </w:p>
        </w:tc>
        <w:tc>
          <w:tcPr>
            <w:tcW w:w="1774" w:type="dxa"/>
            <w:tcBorders>
              <w:bottom w:val="nil"/>
            </w:tcBorders>
          </w:tcPr>
          <w:p>
            <w:pPr>
              <w:pStyle w:val="0"/>
              <w:jc w:val="center"/>
            </w:pPr>
            <w:r>
              <w:rPr>
                <w:sz w:val="20"/>
              </w:rPr>
              <w:t xml:space="preserve">Ежегодно, 2014 - 2025 годы (по мере необходимости)</w:t>
            </w:r>
          </w:p>
        </w:tc>
      </w:tr>
      <w:tr>
        <w:tblPrEx>
          <w:tblBorders>
            <w:insideH w:val="nil"/>
          </w:tblBorders>
        </w:tblPrEx>
        <w:tc>
          <w:tcPr>
            <w:gridSpan w:val="5"/>
            <w:tcW w:w="9029" w:type="dxa"/>
            <w:tcBorders>
              <w:top w:val="nil"/>
            </w:tcBorders>
          </w:tcPr>
          <w:p>
            <w:pPr>
              <w:pStyle w:val="0"/>
              <w:jc w:val="both"/>
            </w:pPr>
            <w:r>
              <w:rPr>
                <w:sz w:val="20"/>
              </w:rPr>
              <w:t xml:space="preserve">(в ред. </w:t>
            </w:r>
            <w:hyperlink w:history="0" r:id="rId19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tc>
      </w:tr>
      <w:tr>
        <w:tc>
          <w:tcPr>
            <w:gridSpan w:val="5"/>
            <w:tcW w:w="9029" w:type="dxa"/>
          </w:tcPr>
          <w:p>
            <w:pPr>
              <w:pStyle w:val="0"/>
              <w:outlineLvl w:val="3"/>
              <w:jc w:val="center"/>
            </w:pPr>
            <w:r>
              <w:rPr>
                <w:sz w:val="20"/>
              </w:rPr>
              <w:t xml:space="preserve">Подпрограмма 4 "Сохранение, воспроизводство и использование животного мира"</w:t>
            </w:r>
          </w:p>
        </w:tc>
      </w:tr>
      <w:tr>
        <w:tc>
          <w:tcPr>
            <w:gridSpan w:val="5"/>
            <w:tcW w:w="9029" w:type="dxa"/>
          </w:tcPr>
          <w:p>
            <w:pPr>
              <w:pStyle w:val="0"/>
              <w:jc w:val="center"/>
            </w:pPr>
            <w:r>
              <w:rPr>
                <w:sz w:val="20"/>
              </w:rPr>
              <w:t xml:space="preserve">Основное мероприятие 4.1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r>
      <w:tr>
        <w:tc>
          <w:tcPr>
            <w:tcW w:w="454" w:type="dxa"/>
          </w:tcPr>
          <w:p>
            <w:pPr>
              <w:pStyle w:val="0"/>
              <w:jc w:val="center"/>
            </w:pPr>
            <w:r>
              <w:rPr>
                <w:sz w:val="20"/>
              </w:rPr>
              <w:t xml:space="preserve">4</w:t>
            </w:r>
          </w:p>
        </w:tc>
        <w:tc>
          <w:tcPr>
            <w:tcW w:w="1699" w:type="dxa"/>
          </w:tcPr>
          <w:p>
            <w:pPr>
              <w:pStyle w:val="0"/>
              <w:jc w:val="center"/>
            </w:pPr>
            <w:r>
              <w:rPr>
                <w:sz w:val="20"/>
              </w:rPr>
              <w:t xml:space="preserve">Постановление Правительства области</w:t>
            </w:r>
          </w:p>
        </w:tc>
        <w:tc>
          <w:tcPr>
            <w:tcW w:w="2381" w:type="dxa"/>
          </w:tcPr>
          <w:p>
            <w:pPr>
              <w:pStyle w:val="0"/>
              <w:jc w:val="center"/>
            </w:pPr>
            <w:r>
              <w:rPr>
                <w:sz w:val="20"/>
              </w:rPr>
              <w:t xml:space="preserve">Об утверждении параметров охоты на территории Белгородской области</w:t>
            </w:r>
          </w:p>
        </w:tc>
        <w:tc>
          <w:tcPr>
            <w:tcW w:w="2721" w:type="dxa"/>
          </w:tcPr>
          <w:p>
            <w:pPr>
              <w:pStyle w:val="0"/>
              <w:jc w:val="center"/>
            </w:pPr>
            <w:r>
              <w:rPr>
                <w:sz w:val="20"/>
              </w:rPr>
              <w:t xml:space="preserve">Департамент природопользования и охраны окружающей среды Белгородской области, управление охраны и использования объектов животного мира, водных биологических ресурсов и среды их обитания Белгородской области</w:t>
            </w:r>
          </w:p>
        </w:tc>
        <w:tc>
          <w:tcPr>
            <w:tcW w:w="1774" w:type="dxa"/>
          </w:tcPr>
          <w:p>
            <w:pPr>
              <w:pStyle w:val="0"/>
              <w:jc w:val="center"/>
            </w:pPr>
            <w:r>
              <w:rPr>
                <w:sz w:val="20"/>
              </w:rPr>
              <w:t xml:space="preserve">2014 год</w:t>
            </w:r>
          </w:p>
        </w:tc>
      </w:tr>
      <w:tr>
        <w:tc>
          <w:tcPr>
            <w:gridSpan w:val="5"/>
            <w:tcW w:w="9029" w:type="dxa"/>
          </w:tcPr>
          <w:p>
            <w:pPr>
              <w:pStyle w:val="0"/>
              <w:jc w:val="center"/>
            </w:pPr>
            <w:r>
              <w:rPr>
                <w:sz w:val="20"/>
              </w:rPr>
              <w:t xml:space="preserve">Основное мероприятие 4.3 "Мероприятия по проведению охотустройства и зонирования области"</w:t>
            </w:r>
          </w:p>
        </w:tc>
      </w:tr>
      <w:tr>
        <w:tc>
          <w:tcPr>
            <w:tcW w:w="454" w:type="dxa"/>
          </w:tcPr>
          <w:p>
            <w:pPr>
              <w:pStyle w:val="0"/>
              <w:jc w:val="center"/>
            </w:pPr>
            <w:r>
              <w:rPr>
                <w:sz w:val="20"/>
              </w:rPr>
              <w:t xml:space="preserve">5</w:t>
            </w:r>
          </w:p>
        </w:tc>
        <w:tc>
          <w:tcPr>
            <w:tcW w:w="1699" w:type="dxa"/>
          </w:tcPr>
          <w:p>
            <w:pPr>
              <w:pStyle w:val="0"/>
              <w:jc w:val="center"/>
            </w:pPr>
            <w:r>
              <w:rPr>
                <w:sz w:val="20"/>
              </w:rPr>
              <w:t xml:space="preserve">Постановление Губернатора области</w:t>
            </w:r>
          </w:p>
        </w:tc>
        <w:tc>
          <w:tcPr>
            <w:tcW w:w="2381" w:type="dxa"/>
          </w:tcPr>
          <w:p>
            <w:pPr>
              <w:pStyle w:val="0"/>
              <w:jc w:val="center"/>
            </w:pPr>
            <w:r>
              <w:rPr>
                <w:sz w:val="20"/>
              </w:rPr>
              <w:t xml:space="preserve">Об утверждении схемы размещения, использования и охраны охотничьих угодий на территории Белгородской области</w:t>
            </w:r>
          </w:p>
        </w:tc>
        <w:tc>
          <w:tcPr>
            <w:tcW w:w="2721" w:type="dxa"/>
          </w:tcPr>
          <w:p>
            <w:pPr>
              <w:pStyle w:val="0"/>
              <w:jc w:val="center"/>
            </w:pPr>
            <w:r>
              <w:rPr>
                <w:sz w:val="20"/>
              </w:rPr>
              <w:t xml:space="preserve">Управление экологического и охотничьего надзора Белгородской области</w:t>
            </w:r>
          </w:p>
        </w:tc>
        <w:tc>
          <w:tcPr>
            <w:tcW w:w="1774" w:type="dxa"/>
          </w:tcPr>
          <w:p>
            <w:pPr>
              <w:pStyle w:val="0"/>
              <w:jc w:val="center"/>
            </w:pPr>
            <w:r>
              <w:rPr>
                <w:sz w:val="20"/>
              </w:rPr>
              <w:t xml:space="preserve">2021 год</w:t>
            </w:r>
          </w:p>
        </w:tc>
      </w:tr>
      <w:tr>
        <w:tc>
          <w:tcPr>
            <w:gridSpan w:val="5"/>
            <w:tcW w:w="9029" w:type="dxa"/>
          </w:tcPr>
          <w:p>
            <w:pPr>
              <w:pStyle w:val="0"/>
              <w:jc w:val="center"/>
            </w:pPr>
            <w:r>
              <w:rPr>
                <w:sz w:val="20"/>
              </w:rPr>
              <w:t xml:space="preserve">Основное мероприятие 4.4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r>
      <w:tr>
        <w:tc>
          <w:tcPr>
            <w:tcW w:w="454" w:type="dxa"/>
          </w:tcPr>
          <w:p>
            <w:pPr>
              <w:pStyle w:val="0"/>
              <w:jc w:val="center"/>
            </w:pPr>
            <w:r>
              <w:rPr>
                <w:sz w:val="20"/>
              </w:rPr>
              <w:t xml:space="preserve">6</w:t>
            </w:r>
          </w:p>
        </w:tc>
        <w:tc>
          <w:tcPr>
            <w:tcW w:w="1699" w:type="dxa"/>
          </w:tcPr>
          <w:p>
            <w:pPr>
              <w:pStyle w:val="0"/>
              <w:jc w:val="center"/>
            </w:pPr>
            <w:r>
              <w:rPr>
                <w:sz w:val="20"/>
              </w:rPr>
              <w:t xml:space="preserve">Постановление Правительства области</w:t>
            </w:r>
          </w:p>
        </w:tc>
        <w:tc>
          <w:tcPr>
            <w:tcW w:w="2381" w:type="dxa"/>
          </w:tcPr>
          <w:p>
            <w:pPr>
              <w:pStyle w:val="0"/>
              <w:jc w:val="center"/>
            </w:pPr>
            <w:r>
              <w:rPr>
                <w:sz w:val="20"/>
              </w:rPr>
              <w:t xml:space="preserve">Об утверждении Правил использования объектов животного мира, не отнесенных к охотничьим ресурсам на территории области</w:t>
            </w:r>
          </w:p>
        </w:tc>
        <w:tc>
          <w:tcPr>
            <w:tcW w:w="2721" w:type="dxa"/>
          </w:tcPr>
          <w:p>
            <w:pPr>
              <w:pStyle w:val="0"/>
              <w:jc w:val="center"/>
            </w:pPr>
            <w:r>
              <w:rPr>
                <w:sz w:val="20"/>
              </w:rPr>
              <w:t xml:space="preserve">Управление экологического и охотничьего надзора Белгородской области</w:t>
            </w:r>
          </w:p>
        </w:tc>
        <w:tc>
          <w:tcPr>
            <w:tcW w:w="1774" w:type="dxa"/>
          </w:tcPr>
          <w:p>
            <w:pPr>
              <w:pStyle w:val="0"/>
              <w:jc w:val="center"/>
            </w:pPr>
            <w:r>
              <w:rPr>
                <w:sz w:val="20"/>
              </w:rPr>
              <w:t xml:space="preserve">2021 год</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4186" w:name="P4186"/>
    <w:bookmarkEnd w:id="4186"/>
    <w:p>
      <w:pPr>
        <w:pStyle w:val="0"/>
        <w:outlineLvl w:val="1"/>
        <w:jc w:val="right"/>
      </w:pPr>
      <w:r>
        <w:rPr>
          <w:sz w:val="20"/>
        </w:rPr>
        <w:t xml:space="preserve">Приложение N 3</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22.03.2021 </w:t>
            </w:r>
            <w:hyperlink w:history="0" r:id="rId198"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25.10.2021 </w:t>
            </w:r>
            <w:hyperlink w:history="0" r:id="rId199"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 от 17.01.2022 </w:t>
            </w:r>
            <w:hyperlink w:history="0" r:id="rId200"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p>
            <w:pPr>
              <w:pStyle w:val="0"/>
              <w:jc w:val="center"/>
            </w:pPr>
            <w:r>
              <w:rPr>
                <w:sz w:val="20"/>
                <w:color w:val="392c69"/>
              </w:rPr>
              <w:t xml:space="preserve">от 06.02.2023 </w:t>
            </w:r>
            <w:hyperlink w:history="0" r:id="rId201"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44-пп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p>
      <w:pPr>
        <w:pStyle w:val="2"/>
        <w:outlineLvl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основных мероприятий (мероприятий)</w:t>
      </w:r>
    </w:p>
    <w:p>
      <w:pPr>
        <w:pStyle w:val="2"/>
        <w:jc w:val="center"/>
      </w:pPr>
      <w:r>
        <w:rPr>
          <w:sz w:val="20"/>
        </w:rPr>
        <w:t xml:space="preserve">государственной программы области из различных источников</w:t>
      </w:r>
    </w:p>
    <w:p>
      <w:pPr>
        <w:pStyle w:val="2"/>
        <w:jc w:val="center"/>
      </w:pPr>
      <w:r>
        <w:rPr>
          <w:sz w:val="20"/>
        </w:rPr>
        <w:t xml:space="preserve">финансирования на 1 этапе реализации</w:t>
      </w:r>
    </w:p>
    <w:p>
      <w:pPr>
        <w:pStyle w:val="0"/>
        <w:jc w:val="right"/>
      </w:pPr>
      <w:r>
        <w:rPr>
          <w:sz w:val="20"/>
        </w:rPr>
      </w:r>
    </w:p>
    <w:p>
      <w:pPr>
        <w:pStyle w:val="0"/>
        <w:jc w:val="right"/>
      </w:pPr>
      <w:r>
        <w:rPr>
          <w:sz w:val="20"/>
        </w:rPr>
        <w:t xml:space="preserve">Таблица 1</w:t>
      </w:r>
    </w:p>
    <w:p>
      <w:pPr>
        <w:pStyle w:val="0"/>
        <w:jc w:val="right"/>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314"/>
        <w:gridCol w:w="2224"/>
        <w:gridCol w:w="844"/>
        <w:gridCol w:w="844"/>
        <w:gridCol w:w="1144"/>
        <w:gridCol w:w="844"/>
        <w:gridCol w:w="1144"/>
        <w:gridCol w:w="1024"/>
        <w:gridCol w:w="1024"/>
        <w:gridCol w:w="1264"/>
      </w:tblGrid>
      <w:tr>
        <w:tc>
          <w:tcPr>
            <w:tcW w:w="1849" w:type="dxa"/>
            <w:vMerge w:val="restart"/>
          </w:tcPr>
          <w:p>
            <w:pPr>
              <w:pStyle w:val="0"/>
              <w:jc w:val="center"/>
            </w:pPr>
            <w:r>
              <w:rPr>
                <w:sz w:val="20"/>
              </w:rPr>
              <w:t xml:space="preserve">Статус</w:t>
            </w:r>
          </w:p>
        </w:tc>
        <w:tc>
          <w:tcPr>
            <w:tcW w:w="2314"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224" w:type="dxa"/>
            <w:vMerge w:val="restart"/>
          </w:tcPr>
          <w:p>
            <w:pPr>
              <w:pStyle w:val="0"/>
              <w:jc w:val="center"/>
            </w:pPr>
            <w:r>
              <w:rPr>
                <w:sz w:val="20"/>
              </w:rPr>
              <w:t xml:space="preserve">Источники финансирования</w:t>
            </w:r>
          </w:p>
        </w:tc>
        <w:tc>
          <w:tcPr>
            <w:gridSpan w:val="7"/>
            <w:tcW w:w="6868" w:type="dxa"/>
          </w:tcPr>
          <w:p>
            <w:pPr>
              <w:pStyle w:val="0"/>
              <w:jc w:val="center"/>
            </w:pPr>
            <w:r>
              <w:rPr>
                <w:sz w:val="20"/>
              </w:rPr>
              <w:t xml:space="preserve">Расходы (тыс. рублей), годы</w:t>
            </w:r>
          </w:p>
        </w:tc>
        <w:tc>
          <w:tcPr>
            <w:tcW w:w="1264" w:type="dxa"/>
            <w:vMerge w:val="restart"/>
          </w:tcPr>
          <w:p>
            <w:pPr>
              <w:pStyle w:val="0"/>
              <w:jc w:val="center"/>
            </w:pPr>
            <w:r>
              <w:rPr>
                <w:sz w:val="20"/>
              </w:rPr>
              <w:t xml:space="preserve">Итого на 1 этапе (2014 - 2020)</w:t>
            </w:r>
          </w:p>
        </w:tc>
      </w:tr>
      <w:tr>
        <w:tc>
          <w:tcPr>
            <w:vMerge w:val="continue"/>
          </w:tcPr>
          <w:p/>
        </w:tc>
        <w:tc>
          <w:tcPr>
            <w:vMerge w:val="continue"/>
          </w:tcPr>
          <w:p/>
        </w:tc>
        <w:tc>
          <w:tcPr>
            <w:vMerge w:val="continue"/>
          </w:tcPr>
          <w:p/>
        </w:tc>
        <w:tc>
          <w:tcPr>
            <w:tcW w:w="844" w:type="dxa"/>
          </w:tcPr>
          <w:p>
            <w:pPr>
              <w:pStyle w:val="0"/>
              <w:jc w:val="center"/>
            </w:pPr>
            <w:r>
              <w:rPr>
                <w:sz w:val="20"/>
              </w:rPr>
              <w:t xml:space="preserve">2014 год</w:t>
            </w:r>
          </w:p>
        </w:tc>
        <w:tc>
          <w:tcPr>
            <w:tcW w:w="844" w:type="dxa"/>
          </w:tcPr>
          <w:p>
            <w:pPr>
              <w:pStyle w:val="0"/>
              <w:jc w:val="center"/>
            </w:pPr>
            <w:r>
              <w:rPr>
                <w:sz w:val="20"/>
              </w:rPr>
              <w:t xml:space="preserve">2015 год</w:t>
            </w:r>
          </w:p>
        </w:tc>
        <w:tc>
          <w:tcPr>
            <w:tcW w:w="1144" w:type="dxa"/>
          </w:tcPr>
          <w:p>
            <w:pPr>
              <w:pStyle w:val="0"/>
              <w:jc w:val="center"/>
            </w:pPr>
            <w:r>
              <w:rPr>
                <w:sz w:val="20"/>
              </w:rPr>
              <w:t xml:space="preserve">2016 год</w:t>
            </w:r>
          </w:p>
        </w:tc>
        <w:tc>
          <w:tcPr>
            <w:tcW w:w="844" w:type="dxa"/>
          </w:tcPr>
          <w:p>
            <w:pPr>
              <w:pStyle w:val="0"/>
              <w:jc w:val="center"/>
            </w:pPr>
            <w:r>
              <w:rPr>
                <w:sz w:val="20"/>
              </w:rPr>
              <w:t xml:space="preserve">2017 год</w:t>
            </w:r>
          </w:p>
        </w:tc>
        <w:tc>
          <w:tcPr>
            <w:tcW w:w="1144" w:type="dxa"/>
          </w:tcPr>
          <w:p>
            <w:pPr>
              <w:pStyle w:val="0"/>
              <w:jc w:val="center"/>
            </w:pPr>
            <w:r>
              <w:rPr>
                <w:sz w:val="20"/>
              </w:rPr>
              <w:t xml:space="preserve">2018 год</w:t>
            </w:r>
          </w:p>
        </w:tc>
        <w:tc>
          <w:tcPr>
            <w:tcW w:w="1024" w:type="dxa"/>
          </w:tcPr>
          <w:p>
            <w:pPr>
              <w:pStyle w:val="0"/>
              <w:jc w:val="center"/>
            </w:pPr>
            <w:r>
              <w:rPr>
                <w:sz w:val="20"/>
              </w:rPr>
              <w:t xml:space="preserve">2019 год</w:t>
            </w:r>
          </w:p>
        </w:tc>
        <w:tc>
          <w:tcPr>
            <w:tcW w:w="1024" w:type="dxa"/>
          </w:tcPr>
          <w:p>
            <w:pPr>
              <w:pStyle w:val="0"/>
              <w:jc w:val="center"/>
            </w:pPr>
            <w:r>
              <w:rPr>
                <w:sz w:val="20"/>
              </w:rPr>
              <w:t xml:space="preserve">2020 год</w:t>
            </w:r>
          </w:p>
        </w:tc>
        <w:tc>
          <w:tcPr>
            <w:vMerge w:val="continue"/>
          </w:tcPr>
          <w:p/>
        </w:tc>
      </w:tr>
      <w:tr>
        <w:tc>
          <w:tcPr>
            <w:tcW w:w="1849" w:type="dxa"/>
          </w:tcPr>
          <w:p>
            <w:pPr>
              <w:pStyle w:val="0"/>
              <w:jc w:val="center"/>
            </w:pPr>
            <w:r>
              <w:rPr>
                <w:sz w:val="20"/>
              </w:rPr>
              <w:t xml:space="preserve">1</w:t>
            </w:r>
          </w:p>
        </w:tc>
        <w:tc>
          <w:tcPr>
            <w:tcW w:w="2314" w:type="dxa"/>
          </w:tcPr>
          <w:p>
            <w:pPr>
              <w:pStyle w:val="0"/>
              <w:jc w:val="center"/>
            </w:pPr>
            <w:r>
              <w:rPr>
                <w:sz w:val="20"/>
              </w:rPr>
              <w:t xml:space="preserve">2</w:t>
            </w:r>
          </w:p>
        </w:tc>
        <w:tc>
          <w:tcPr>
            <w:tcW w:w="2224" w:type="dxa"/>
          </w:tcPr>
          <w:p>
            <w:pPr>
              <w:pStyle w:val="0"/>
              <w:jc w:val="center"/>
            </w:pPr>
            <w:r>
              <w:rPr>
                <w:sz w:val="20"/>
              </w:rPr>
              <w:t xml:space="preserve">3</w:t>
            </w:r>
          </w:p>
        </w:tc>
        <w:tc>
          <w:tcPr>
            <w:tcW w:w="844" w:type="dxa"/>
          </w:tcPr>
          <w:p>
            <w:pPr>
              <w:pStyle w:val="0"/>
              <w:jc w:val="center"/>
            </w:pPr>
            <w:r>
              <w:rPr>
                <w:sz w:val="20"/>
              </w:rPr>
              <w:t xml:space="preserve">4</w:t>
            </w:r>
          </w:p>
        </w:tc>
        <w:tc>
          <w:tcPr>
            <w:tcW w:w="844" w:type="dxa"/>
          </w:tcPr>
          <w:p>
            <w:pPr>
              <w:pStyle w:val="0"/>
              <w:jc w:val="center"/>
            </w:pPr>
            <w:r>
              <w:rPr>
                <w:sz w:val="20"/>
              </w:rPr>
              <w:t xml:space="preserve">5</w:t>
            </w:r>
          </w:p>
        </w:tc>
        <w:tc>
          <w:tcPr>
            <w:tcW w:w="1144" w:type="dxa"/>
          </w:tcPr>
          <w:p>
            <w:pPr>
              <w:pStyle w:val="0"/>
              <w:jc w:val="center"/>
            </w:pPr>
            <w:r>
              <w:rPr>
                <w:sz w:val="20"/>
              </w:rPr>
              <w:t xml:space="preserve">6</w:t>
            </w:r>
          </w:p>
        </w:tc>
        <w:tc>
          <w:tcPr>
            <w:tcW w:w="844" w:type="dxa"/>
          </w:tcPr>
          <w:p>
            <w:pPr>
              <w:pStyle w:val="0"/>
              <w:jc w:val="center"/>
            </w:pPr>
            <w:r>
              <w:rPr>
                <w:sz w:val="20"/>
              </w:rPr>
              <w:t xml:space="preserve">7</w:t>
            </w:r>
          </w:p>
        </w:tc>
        <w:tc>
          <w:tcPr>
            <w:tcW w:w="1144" w:type="dxa"/>
          </w:tcPr>
          <w:p>
            <w:pPr>
              <w:pStyle w:val="0"/>
              <w:jc w:val="center"/>
            </w:pPr>
            <w:r>
              <w:rPr>
                <w:sz w:val="20"/>
              </w:rPr>
              <w:t xml:space="preserve">8</w:t>
            </w:r>
          </w:p>
        </w:tc>
        <w:tc>
          <w:tcPr>
            <w:tcW w:w="1024" w:type="dxa"/>
          </w:tcPr>
          <w:p>
            <w:pPr>
              <w:pStyle w:val="0"/>
              <w:jc w:val="center"/>
            </w:pPr>
            <w:r>
              <w:rPr>
                <w:sz w:val="20"/>
              </w:rPr>
              <w:t xml:space="preserve">9</w:t>
            </w:r>
          </w:p>
        </w:tc>
        <w:tc>
          <w:tcPr>
            <w:tcW w:w="1024" w:type="dxa"/>
          </w:tcPr>
          <w:p>
            <w:pPr>
              <w:pStyle w:val="0"/>
              <w:jc w:val="center"/>
            </w:pPr>
            <w:r>
              <w:rPr>
                <w:sz w:val="20"/>
              </w:rPr>
              <w:t xml:space="preserve">10</w:t>
            </w:r>
          </w:p>
        </w:tc>
        <w:tc>
          <w:tcPr>
            <w:tcW w:w="1264" w:type="dxa"/>
          </w:tcPr>
          <w:p>
            <w:pPr>
              <w:pStyle w:val="0"/>
              <w:jc w:val="center"/>
            </w:pPr>
            <w:r>
              <w:rPr>
                <w:sz w:val="20"/>
              </w:rPr>
              <w:t xml:space="preserve">11</w:t>
            </w:r>
          </w:p>
        </w:tc>
      </w:tr>
      <w:tr>
        <w:tc>
          <w:tcPr>
            <w:tcW w:w="1849" w:type="dxa"/>
            <w:vAlign w:val="center"/>
            <w:vMerge w:val="restart"/>
          </w:tcPr>
          <w:p>
            <w:pPr>
              <w:pStyle w:val="0"/>
              <w:jc w:val="center"/>
            </w:pPr>
            <w:r>
              <w:rPr>
                <w:sz w:val="20"/>
              </w:rPr>
              <w:t xml:space="preserve">Государственная программа</w:t>
            </w:r>
          </w:p>
        </w:tc>
        <w:tc>
          <w:tcPr>
            <w:tcW w:w="2314" w:type="dxa"/>
            <w:vAlign w:val="center"/>
            <w:vMerge w:val="restart"/>
          </w:tcPr>
          <w:p>
            <w:pPr>
              <w:pStyle w:val="0"/>
              <w:jc w:val="center"/>
            </w:pPr>
            <w:r>
              <w:rPr>
                <w:sz w:val="20"/>
              </w:rPr>
              <w:t xml:space="preserve">Развитие водного и лесного хозяйства Белгородской области, охрана окружающей среды</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392438</w:t>
            </w:r>
          </w:p>
        </w:tc>
        <w:tc>
          <w:tcPr>
            <w:tcW w:w="844" w:type="dxa"/>
            <w:vAlign w:val="center"/>
          </w:tcPr>
          <w:p>
            <w:pPr>
              <w:pStyle w:val="0"/>
              <w:jc w:val="center"/>
            </w:pPr>
            <w:r>
              <w:rPr>
                <w:sz w:val="20"/>
              </w:rPr>
              <w:t xml:space="preserve">368850</w:t>
            </w:r>
          </w:p>
        </w:tc>
        <w:tc>
          <w:tcPr>
            <w:tcW w:w="1144" w:type="dxa"/>
            <w:vAlign w:val="center"/>
          </w:tcPr>
          <w:p>
            <w:pPr>
              <w:pStyle w:val="0"/>
              <w:jc w:val="center"/>
            </w:pPr>
            <w:r>
              <w:rPr>
                <w:sz w:val="20"/>
              </w:rPr>
              <w:t xml:space="preserve">350464,84</w:t>
            </w:r>
          </w:p>
        </w:tc>
        <w:tc>
          <w:tcPr>
            <w:tcW w:w="844" w:type="dxa"/>
            <w:vAlign w:val="center"/>
          </w:tcPr>
          <w:p>
            <w:pPr>
              <w:pStyle w:val="0"/>
              <w:jc w:val="center"/>
            </w:pPr>
            <w:r>
              <w:rPr>
                <w:sz w:val="20"/>
              </w:rPr>
              <w:t xml:space="preserve">319870</w:t>
            </w:r>
          </w:p>
        </w:tc>
        <w:tc>
          <w:tcPr>
            <w:tcW w:w="1144" w:type="dxa"/>
            <w:vAlign w:val="center"/>
          </w:tcPr>
          <w:p>
            <w:pPr>
              <w:pStyle w:val="0"/>
              <w:jc w:val="center"/>
            </w:pPr>
            <w:r>
              <w:rPr>
                <w:sz w:val="20"/>
              </w:rPr>
              <w:t xml:space="preserve">495728,60</w:t>
            </w:r>
          </w:p>
        </w:tc>
        <w:tc>
          <w:tcPr>
            <w:tcW w:w="1024" w:type="dxa"/>
            <w:vAlign w:val="center"/>
          </w:tcPr>
          <w:p>
            <w:pPr>
              <w:pStyle w:val="0"/>
              <w:jc w:val="center"/>
            </w:pPr>
            <w:r>
              <w:rPr>
                <w:sz w:val="20"/>
              </w:rPr>
              <w:t xml:space="preserve">833898,3</w:t>
            </w:r>
          </w:p>
        </w:tc>
        <w:tc>
          <w:tcPr>
            <w:tcW w:w="1024" w:type="dxa"/>
            <w:vAlign w:val="center"/>
          </w:tcPr>
          <w:p>
            <w:pPr>
              <w:pStyle w:val="0"/>
              <w:jc w:val="center"/>
            </w:pPr>
            <w:r>
              <w:rPr>
                <w:sz w:val="20"/>
              </w:rPr>
              <w:t xml:space="preserve">965049,4</w:t>
            </w:r>
          </w:p>
        </w:tc>
        <w:tc>
          <w:tcPr>
            <w:tcW w:w="1264" w:type="dxa"/>
            <w:vAlign w:val="center"/>
          </w:tcPr>
          <w:p>
            <w:pPr>
              <w:pStyle w:val="0"/>
              <w:jc w:val="center"/>
            </w:pPr>
            <w:r>
              <w:rPr>
                <w:sz w:val="20"/>
              </w:rPr>
              <w:t xml:space="preserve">3726299,14</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120764</w:t>
            </w:r>
          </w:p>
        </w:tc>
        <w:tc>
          <w:tcPr>
            <w:tcW w:w="844" w:type="dxa"/>
            <w:vAlign w:val="center"/>
          </w:tcPr>
          <w:p>
            <w:pPr>
              <w:pStyle w:val="0"/>
              <w:jc w:val="center"/>
            </w:pPr>
            <w:r>
              <w:rPr>
                <w:sz w:val="20"/>
              </w:rPr>
              <w:t xml:space="preserve">116807</w:t>
            </w:r>
          </w:p>
        </w:tc>
        <w:tc>
          <w:tcPr>
            <w:tcW w:w="1144" w:type="dxa"/>
            <w:vAlign w:val="center"/>
          </w:tcPr>
          <w:p>
            <w:pPr>
              <w:pStyle w:val="0"/>
              <w:jc w:val="center"/>
            </w:pPr>
            <w:r>
              <w:rPr>
                <w:sz w:val="20"/>
              </w:rPr>
              <w:t xml:space="preserve">111309,10</w:t>
            </w:r>
          </w:p>
        </w:tc>
        <w:tc>
          <w:tcPr>
            <w:tcW w:w="844" w:type="dxa"/>
            <w:vAlign w:val="center"/>
          </w:tcPr>
          <w:p>
            <w:pPr>
              <w:pStyle w:val="0"/>
              <w:jc w:val="center"/>
            </w:pPr>
            <w:r>
              <w:rPr>
                <w:sz w:val="20"/>
              </w:rPr>
              <w:t xml:space="preserve">90413</w:t>
            </w:r>
          </w:p>
        </w:tc>
        <w:tc>
          <w:tcPr>
            <w:tcW w:w="1144" w:type="dxa"/>
            <w:vAlign w:val="center"/>
          </w:tcPr>
          <w:p>
            <w:pPr>
              <w:pStyle w:val="0"/>
              <w:jc w:val="center"/>
            </w:pPr>
            <w:r>
              <w:rPr>
                <w:sz w:val="20"/>
              </w:rPr>
              <w:t xml:space="preserve">137776</w:t>
            </w:r>
          </w:p>
        </w:tc>
        <w:tc>
          <w:tcPr>
            <w:tcW w:w="1024" w:type="dxa"/>
            <w:vAlign w:val="center"/>
          </w:tcPr>
          <w:p>
            <w:pPr>
              <w:pStyle w:val="0"/>
              <w:jc w:val="center"/>
            </w:pPr>
            <w:r>
              <w:rPr>
                <w:sz w:val="20"/>
              </w:rPr>
              <w:t xml:space="preserve">172190,8</w:t>
            </w:r>
          </w:p>
        </w:tc>
        <w:tc>
          <w:tcPr>
            <w:tcW w:w="1024" w:type="dxa"/>
            <w:vAlign w:val="center"/>
          </w:tcPr>
          <w:p>
            <w:pPr>
              <w:pStyle w:val="0"/>
              <w:jc w:val="center"/>
            </w:pPr>
            <w:r>
              <w:rPr>
                <w:sz w:val="20"/>
              </w:rPr>
              <w:t xml:space="preserve">279759,1</w:t>
            </w:r>
          </w:p>
        </w:tc>
        <w:tc>
          <w:tcPr>
            <w:tcW w:w="1264" w:type="dxa"/>
            <w:vAlign w:val="center"/>
          </w:tcPr>
          <w:p>
            <w:pPr>
              <w:pStyle w:val="0"/>
              <w:jc w:val="center"/>
            </w:pPr>
            <w:r>
              <w:rPr>
                <w:sz w:val="20"/>
              </w:rPr>
              <w:t xml:space="preserve">1029019,0</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255470</w:t>
            </w:r>
          </w:p>
        </w:tc>
        <w:tc>
          <w:tcPr>
            <w:tcW w:w="844" w:type="dxa"/>
            <w:vAlign w:val="center"/>
          </w:tcPr>
          <w:p>
            <w:pPr>
              <w:pStyle w:val="0"/>
              <w:jc w:val="center"/>
            </w:pPr>
            <w:r>
              <w:rPr>
                <w:sz w:val="20"/>
              </w:rPr>
              <w:t xml:space="preserve">228279</w:t>
            </w:r>
          </w:p>
        </w:tc>
        <w:tc>
          <w:tcPr>
            <w:tcW w:w="1144" w:type="dxa"/>
            <w:vAlign w:val="center"/>
          </w:tcPr>
          <w:p>
            <w:pPr>
              <w:pStyle w:val="0"/>
              <w:jc w:val="center"/>
            </w:pPr>
            <w:r>
              <w:rPr>
                <w:sz w:val="20"/>
              </w:rPr>
              <w:t xml:space="preserve">229683,00</w:t>
            </w:r>
          </w:p>
        </w:tc>
        <w:tc>
          <w:tcPr>
            <w:tcW w:w="844" w:type="dxa"/>
            <w:vAlign w:val="center"/>
          </w:tcPr>
          <w:p>
            <w:pPr>
              <w:pStyle w:val="0"/>
              <w:jc w:val="center"/>
            </w:pPr>
            <w:r>
              <w:rPr>
                <w:sz w:val="20"/>
              </w:rPr>
              <w:t xml:space="preserve">227913</w:t>
            </w:r>
          </w:p>
        </w:tc>
        <w:tc>
          <w:tcPr>
            <w:tcW w:w="1144" w:type="dxa"/>
            <w:vAlign w:val="center"/>
          </w:tcPr>
          <w:p>
            <w:pPr>
              <w:pStyle w:val="0"/>
              <w:jc w:val="center"/>
            </w:pPr>
            <w:r>
              <w:rPr>
                <w:sz w:val="20"/>
              </w:rPr>
              <w:t xml:space="preserve">293595</w:t>
            </w:r>
          </w:p>
        </w:tc>
        <w:tc>
          <w:tcPr>
            <w:tcW w:w="1024" w:type="dxa"/>
            <w:vAlign w:val="center"/>
          </w:tcPr>
          <w:p>
            <w:pPr>
              <w:pStyle w:val="0"/>
              <w:jc w:val="center"/>
            </w:pPr>
            <w:r>
              <w:rPr>
                <w:sz w:val="20"/>
              </w:rPr>
              <w:t xml:space="preserve">307473,5</w:t>
            </w:r>
          </w:p>
        </w:tc>
        <w:tc>
          <w:tcPr>
            <w:tcW w:w="1024" w:type="dxa"/>
            <w:vAlign w:val="center"/>
          </w:tcPr>
          <w:p>
            <w:pPr>
              <w:pStyle w:val="0"/>
              <w:jc w:val="center"/>
            </w:pPr>
            <w:r>
              <w:rPr>
                <w:sz w:val="20"/>
              </w:rPr>
              <w:t xml:space="preserve">379248,1</w:t>
            </w:r>
          </w:p>
        </w:tc>
        <w:tc>
          <w:tcPr>
            <w:tcW w:w="1264" w:type="dxa"/>
            <w:vAlign w:val="center"/>
          </w:tcPr>
          <w:p>
            <w:pPr>
              <w:pStyle w:val="0"/>
              <w:jc w:val="center"/>
            </w:pPr>
            <w:r>
              <w:rPr>
                <w:sz w:val="20"/>
              </w:rPr>
              <w:t xml:space="preserve">1921661,6</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t xml:space="preserve">16204</w:t>
            </w:r>
          </w:p>
        </w:tc>
        <w:tc>
          <w:tcPr>
            <w:tcW w:w="844" w:type="dxa"/>
            <w:vAlign w:val="center"/>
          </w:tcPr>
          <w:p>
            <w:pPr>
              <w:pStyle w:val="0"/>
              <w:jc w:val="center"/>
            </w:pPr>
            <w:r>
              <w:rPr>
                <w:sz w:val="20"/>
              </w:rPr>
              <w:t xml:space="preserve">23764</w:t>
            </w:r>
          </w:p>
        </w:tc>
        <w:tc>
          <w:tcPr>
            <w:tcW w:w="1144" w:type="dxa"/>
            <w:vAlign w:val="center"/>
          </w:tcPr>
          <w:p>
            <w:pPr>
              <w:pStyle w:val="0"/>
              <w:jc w:val="center"/>
            </w:pPr>
            <w:r>
              <w:rPr>
                <w:sz w:val="20"/>
              </w:rPr>
              <w:t xml:space="preserve">9472,74</w:t>
            </w:r>
          </w:p>
        </w:tc>
        <w:tc>
          <w:tcPr>
            <w:tcW w:w="844" w:type="dxa"/>
            <w:vAlign w:val="center"/>
          </w:tcPr>
          <w:p>
            <w:pPr>
              <w:pStyle w:val="0"/>
              <w:jc w:val="center"/>
            </w:pPr>
            <w:r>
              <w:rPr>
                <w:sz w:val="20"/>
              </w:rPr>
              <w:t xml:space="preserve">1544</w:t>
            </w:r>
          </w:p>
        </w:tc>
        <w:tc>
          <w:tcPr>
            <w:tcW w:w="1144" w:type="dxa"/>
            <w:vAlign w:val="center"/>
          </w:tcPr>
          <w:p>
            <w:pPr>
              <w:pStyle w:val="0"/>
              <w:jc w:val="center"/>
            </w:pPr>
            <w:r>
              <w:rPr>
                <w:sz w:val="20"/>
              </w:rPr>
              <w:t xml:space="preserve">2958,60</w:t>
            </w:r>
          </w:p>
        </w:tc>
        <w:tc>
          <w:tcPr>
            <w:tcW w:w="1024" w:type="dxa"/>
            <w:vAlign w:val="center"/>
          </w:tcPr>
          <w:p>
            <w:pPr>
              <w:pStyle w:val="0"/>
              <w:jc w:val="center"/>
            </w:pPr>
            <w:r>
              <w:rPr>
                <w:sz w:val="20"/>
              </w:rPr>
              <w:t xml:space="preserve">7114,0</w:t>
            </w:r>
          </w:p>
        </w:tc>
        <w:tc>
          <w:tcPr>
            <w:tcW w:w="1024" w:type="dxa"/>
            <w:vAlign w:val="center"/>
          </w:tcPr>
          <w:p>
            <w:pPr>
              <w:pStyle w:val="0"/>
              <w:jc w:val="center"/>
            </w:pPr>
            <w:r>
              <w:rPr>
                <w:sz w:val="20"/>
              </w:rPr>
              <w:t xml:space="preserve">7406,1</w:t>
            </w:r>
          </w:p>
        </w:tc>
        <w:tc>
          <w:tcPr>
            <w:tcW w:w="1264" w:type="dxa"/>
            <w:vAlign w:val="center"/>
          </w:tcPr>
          <w:p>
            <w:pPr>
              <w:pStyle w:val="0"/>
              <w:jc w:val="center"/>
            </w:pPr>
            <w:r>
              <w:rPr>
                <w:sz w:val="20"/>
              </w:rPr>
              <w:t xml:space="preserve">68463,44</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61399</w:t>
            </w:r>
          </w:p>
        </w:tc>
        <w:tc>
          <w:tcPr>
            <w:tcW w:w="1024" w:type="dxa"/>
            <w:vAlign w:val="center"/>
          </w:tcPr>
          <w:p>
            <w:pPr>
              <w:pStyle w:val="0"/>
              <w:jc w:val="center"/>
            </w:pPr>
            <w:r>
              <w:rPr>
                <w:sz w:val="20"/>
              </w:rPr>
              <w:t xml:space="preserve">347120,0</w:t>
            </w:r>
          </w:p>
        </w:tc>
        <w:tc>
          <w:tcPr>
            <w:tcW w:w="1024" w:type="dxa"/>
            <w:vAlign w:val="center"/>
          </w:tcPr>
          <w:p>
            <w:pPr>
              <w:pStyle w:val="0"/>
              <w:jc w:val="center"/>
            </w:pPr>
            <w:r>
              <w:rPr>
                <w:sz w:val="20"/>
              </w:rPr>
              <w:t xml:space="preserve">298636,1</w:t>
            </w:r>
          </w:p>
        </w:tc>
        <w:tc>
          <w:tcPr>
            <w:tcW w:w="1264" w:type="dxa"/>
            <w:vAlign w:val="center"/>
          </w:tcPr>
          <w:p>
            <w:pPr>
              <w:pStyle w:val="0"/>
              <w:jc w:val="center"/>
            </w:pPr>
            <w:r>
              <w:rPr>
                <w:sz w:val="20"/>
              </w:rPr>
              <w:t xml:space="preserve">707155,1</w:t>
            </w:r>
          </w:p>
        </w:tc>
      </w:tr>
      <w:tr>
        <w:tc>
          <w:tcPr>
            <w:tcW w:w="1849" w:type="dxa"/>
            <w:vAlign w:val="center"/>
            <w:vMerge w:val="restart"/>
          </w:tcPr>
          <w:p>
            <w:pPr>
              <w:pStyle w:val="0"/>
              <w:jc w:val="center"/>
            </w:pPr>
            <w:r>
              <w:rPr>
                <w:sz w:val="20"/>
              </w:rPr>
              <w:t xml:space="preserve">Подпрограмма 1</w:t>
            </w:r>
          </w:p>
        </w:tc>
        <w:tc>
          <w:tcPr>
            <w:tcW w:w="2314" w:type="dxa"/>
            <w:vAlign w:val="center"/>
            <w:vMerge w:val="restart"/>
          </w:tcPr>
          <w:p>
            <w:pPr>
              <w:pStyle w:val="0"/>
              <w:jc w:val="center"/>
            </w:pPr>
            <w:r>
              <w:rPr>
                <w:sz w:val="20"/>
              </w:rPr>
              <w:t xml:space="preserve">Развитие лесного хозяйства</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232411</w:t>
            </w:r>
          </w:p>
        </w:tc>
        <w:tc>
          <w:tcPr>
            <w:tcW w:w="844" w:type="dxa"/>
            <w:vAlign w:val="center"/>
          </w:tcPr>
          <w:p>
            <w:pPr>
              <w:pStyle w:val="0"/>
              <w:jc w:val="center"/>
            </w:pPr>
            <w:r>
              <w:rPr>
                <w:sz w:val="20"/>
              </w:rPr>
              <w:t xml:space="preserve">213767</w:t>
            </w:r>
          </w:p>
        </w:tc>
        <w:tc>
          <w:tcPr>
            <w:tcW w:w="1144" w:type="dxa"/>
            <w:vAlign w:val="center"/>
          </w:tcPr>
          <w:p>
            <w:pPr>
              <w:pStyle w:val="0"/>
              <w:jc w:val="center"/>
            </w:pPr>
            <w:r>
              <w:rPr>
                <w:sz w:val="20"/>
              </w:rPr>
              <w:t xml:space="preserve">225388,60</w:t>
            </w:r>
          </w:p>
        </w:tc>
        <w:tc>
          <w:tcPr>
            <w:tcW w:w="844" w:type="dxa"/>
            <w:vAlign w:val="center"/>
          </w:tcPr>
          <w:p>
            <w:pPr>
              <w:pStyle w:val="0"/>
              <w:jc w:val="center"/>
            </w:pPr>
            <w:r>
              <w:rPr>
                <w:sz w:val="20"/>
              </w:rPr>
              <w:t xml:space="preserve">218489</w:t>
            </w:r>
          </w:p>
        </w:tc>
        <w:tc>
          <w:tcPr>
            <w:tcW w:w="1144" w:type="dxa"/>
            <w:vAlign w:val="center"/>
          </w:tcPr>
          <w:p>
            <w:pPr>
              <w:pStyle w:val="0"/>
              <w:jc w:val="center"/>
            </w:pPr>
            <w:r>
              <w:rPr>
                <w:sz w:val="20"/>
              </w:rPr>
              <w:t xml:space="preserve">267756</w:t>
            </w:r>
          </w:p>
        </w:tc>
        <w:tc>
          <w:tcPr>
            <w:tcW w:w="1024" w:type="dxa"/>
            <w:vAlign w:val="center"/>
          </w:tcPr>
          <w:p>
            <w:pPr>
              <w:pStyle w:val="0"/>
              <w:jc w:val="center"/>
            </w:pPr>
            <w:r>
              <w:rPr>
                <w:sz w:val="20"/>
              </w:rPr>
              <w:t xml:space="preserve">296056,9</w:t>
            </w:r>
          </w:p>
        </w:tc>
        <w:tc>
          <w:tcPr>
            <w:tcW w:w="1024" w:type="dxa"/>
            <w:vAlign w:val="center"/>
          </w:tcPr>
          <w:p>
            <w:pPr>
              <w:pStyle w:val="0"/>
              <w:jc w:val="center"/>
            </w:pPr>
            <w:r>
              <w:rPr>
                <w:sz w:val="20"/>
              </w:rPr>
              <w:t xml:space="preserve">343080,4</w:t>
            </w:r>
          </w:p>
        </w:tc>
        <w:tc>
          <w:tcPr>
            <w:tcW w:w="1264" w:type="dxa"/>
            <w:vAlign w:val="center"/>
          </w:tcPr>
          <w:p>
            <w:pPr>
              <w:pStyle w:val="0"/>
              <w:jc w:val="center"/>
            </w:pPr>
            <w:r>
              <w:rPr>
                <w:sz w:val="20"/>
              </w:rPr>
              <w:t xml:space="preserve">1796948,9</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87481</w:t>
            </w:r>
          </w:p>
        </w:tc>
        <w:tc>
          <w:tcPr>
            <w:tcW w:w="844" w:type="dxa"/>
            <w:vAlign w:val="center"/>
          </w:tcPr>
          <w:p>
            <w:pPr>
              <w:pStyle w:val="0"/>
              <w:jc w:val="center"/>
            </w:pPr>
            <w:r>
              <w:rPr>
                <w:sz w:val="20"/>
              </w:rPr>
              <w:t xml:space="preserve">79711</w:t>
            </w:r>
          </w:p>
        </w:tc>
        <w:tc>
          <w:tcPr>
            <w:tcW w:w="1144" w:type="dxa"/>
            <w:vAlign w:val="center"/>
          </w:tcPr>
          <w:p>
            <w:pPr>
              <w:pStyle w:val="0"/>
              <w:jc w:val="center"/>
            </w:pPr>
            <w:r>
              <w:rPr>
                <w:sz w:val="20"/>
              </w:rPr>
              <w:t xml:space="preserve">68882,60</w:t>
            </w:r>
          </w:p>
        </w:tc>
        <w:tc>
          <w:tcPr>
            <w:tcW w:w="844" w:type="dxa"/>
            <w:vAlign w:val="center"/>
          </w:tcPr>
          <w:p>
            <w:pPr>
              <w:pStyle w:val="0"/>
              <w:jc w:val="center"/>
            </w:pPr>
            <w:r>
              <w:rPr>
                <w:sz w:val="20"/>
              </w:rPr>
              <w:t xml:space="preserve">74185</w:t>
            </w:r>
          </w:p>
        </w:tc>
        <w:tc>
          <w:tcPr>
            <w:tcW w:w="1144" w:type="dxa"/>
            <w:vAlign w:val="center"/>
          </w:tcPr>
          <w:p>
            <w:pPr>
              <w:pStyle w:val="0"/>
              <w:jc w:val="center"/>
            </w:pPr>
            <w:r>
              <w:rPr>
                <w:sz w:val="20"/>
              </w:rPr>
              <w:t xml:space="preserve">110888</w:t>
            </w:r>
          </w:p>
        </w:tc>
        <w:tc>
          <w:tcPr>
            <w:tcW w:w="1024" w:type="dxa"/>
            <w:vAlign w:val="center"/>
          </w:tcPr>
          <w:p>
            <w:pPr>
              <w:pStyle w:val="0"/>
              <w:jc w:val="center"/>
            </w:pPr>
            <w:r>
              <w:rPr>
                <w:sz w:val="20"/>
              </w:rPr>
              <w:t xml:space="preserve">141961,9</w:t>
            </w:r>
          </w:p>
        </w:tc>
        <w:tc>
          <w:tcPr>
            <w:tcW w:w="1024" w:type="dxa"/>
            <w:vAlign w:val="center"/>
          </w:tcPr>
          <w:p>
            <w:pPr>
              <w:pStyle w:val="0"/>
              <w:jc w:val="center"/>
            </w:pPr>
            <w:r>
              <w:rPr>
                <w:sz w:val="20"/>
              </w:rPr>
              <w:t xml:space="preserve">137880,4</w:t>
            </w:r>
          </w:p>
        </w:tc>
        <w:tc>
          <w:tcPr>
            <w:tcW w:w="1264" w:type="dxa"/>
            <w:vAlign w:val="center"/>
          </w:tcPr>
          <w:p>
            <w:pPr>
              <w:pStyle w:val="0"/>
              <w:jc w:val="center"/>
            </w:pPr>
            <w:r>
              <w:rPr>
                <w:sz w:val="20"/>
              </w:rPr>
              <w:t xml:space="preserve">700989,9</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144930</w:t>
            </w:r>
          </w:p>
        </w:tc>
        <w:tc>
          <w:tcPr>
            <w:tcW w:w="844" w:type="dxa"/>
            <w:vAlign w:val="center"/>
          </w:tcPr>
          <w:p>
            <w:pPr>
              <w:pStyle w:val="0"/>
              <w:jc w:val="center"/>
            </w:pPr>
            <w:r>
              <w:rPr>
                <w:sz w:val="20"/>
              </w:rPr>
              <w:t xml:space="preserve">134056</w:t>
            </w:r>
          </w:p>
        </w:tc>
        <w:tc>
          <w:tcPr>
            <w:tcW w:w="1144" w:type="dxa"/>
            <w:vAlign w:val="center"/>
          </w:tcPr>
          <w:p>
            <w:pPr>
              <w:pStyle w:val="0"/>
              <w:jc w:val="center"/>
            </w:pPr>
            <w:r>
              <w:rPr>
                <w:sz w:val="20"/>
              </w:rPr>
              <w:t xml:space="preserve">156506,00</w:t>
            </w:r>
          </w:p>
        </w:tc>
        <w:tc>
          <w:tcPr>
            <w:tcW w:w="844" w:type="dxa"/>
            <w:vAlign w:val="center"/>
          </w:tcPr>
          <w:p>
            <w:pPr>
              <w:pStyle w:val="0"/>
              <w:jc w:val="center"/>
            </w:pPr>
            <w:r>
              <w:rPr>
                <w:sz w:val="20"/>
              </w:rPr>
              <w:t xml:space="preserve">144304</w:t>
            </w:r>
          </w:p>
        </w:tc>
        <w:tc>
          <w:tcPr>
            <w:tcW w:w="1144" w:type="dxa"/>
            <w:vAlign w:val="center"/>
          </w:tcPr>
          <w:p>
            <w:pPr>
              <w:pStyle w:val="0"/>
              <w:jc w:val="center"/>
            </w:pPr>
            <w:r>
              <w:rPr>
                <w:sz w:val="20"/>
              </w:rPr>
              <w:t xml:space="preserve">156868</w:t>
            </w:r>
          </w:p>
        </w:tc>
        <w:tc>
          <w:tcPr>
            <w:tcW w:w="1024" w:type="dxa"/>
            <w:vAlign w:val="center"/>
          </w:tcPr>
          <w:p>
            <w:pPr>
              <w:pStyle w:val="0"/>
              <w:jc w:val="center"/>
            </w:pPr>
            <w:r>
              <w:rPr>
                <w:sz w:val="20"/>
              </w:rPr>
              <w:t xml:space="preserve">154095,0</w:t>
            </w:r>
          </w:p>
        </w:tc>
        <w:tc>
          <w:tcPr>
            <w:tcW w:w="1024" w:type="dxa"/>
            <w:vAlign w:val="center"/>
          </w:tcPr>
          <w:p>
            <w:pPr>
              <w:pStyle w:val="0"/>
              <w:jc w:val="center"/>
            </w:pPr>
            <w:r>
              <w:rPr>
                <w:sz w:val="20"/>
              </w:rPr>
              <w:t xml:space="preserve">205200,0</w:t>
            </w:r>
          </w:p>
        </w:tc>
        <w:tc>
          <w:tcPr>
            <w:tcW w:w="1264" w:type="dxa"/>
            <w:vAlign w:val="center"/>
          </w:tcPr>
          <w:p>
            <w:pPr>
              <w:pStyle w:val="0"/>
              <w:jc w:val="center"/>
            </w:pPr>
            <w:r>
              <w:rPr>
                <w:sz w:val="20"/>
              </w:rPr>
              <w:t xml:space="preserve">1095959,0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1.1</w:t>
            </w:r>
          </w:p>
        </w:tc>
        <w:tc>
          <w:tcPr>
            <w:tcW w:w="2314" w:type="dxa"/>
            <w:vAlign w:val="center"/>
            <w:vMerge w:val="restart"/>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19916</w:t>
            </w:r>
          </w:p>
        </w:tc>
        <w:tc>
          <w:tcPr>
            <w:tcW w:w="844" w:type="dxa"/>
            <w:vAlign w:val="center"/>
          </w:tcPr>
          <w:p>
            <w:pPr>
              <w:pStyle w:val="0"/>
              <w:jc w:val="center"/>
            </w:pPr>
            <w:r>
              <w:rPr>
                <w:sz w:val="20"/>
              </w:rPr>
              <w:t xml:space="preserve">11211</w:t>
            </w:r>
          </w:p>
        </w:tc>
        <w:tc>
          <w:tcPr>
            <w:tcW w:w="1144" w:type="dxa"/>
            <w:vAlign w:val="center"/>
          </w:tcPr>
          <w:p>
            <w:pPr>
              <w:pStyle w:val="0"/>
              <w:jc w:val="center"/>
            </w:pPr>
            <w:r>
              <w:rPr>
                <w:sz w:val="20"/>
              </w:rPr>
              <w:t xml:space="preserve">10373,00</w:t>
            </w:r>
          </w:p>
        </w:tc>
        <w:tc>
          <w:tcPr>
            <w:tcW w:w="844" w:type="dxa"/>
            <w:vAlign w:val="center"/>
          </w:tcPr>
          <w:p>
            <w:pPr>
              <w:pStyle w:val="0"/>
              <w:jc w:val="center"/>
            </w:pPr>
            <w:r>
              <w:rPr>
                <w:sz w:val="20"/>
              </w:rPr>
              <w:t xml:space="preserve">4748</w:t>
            </w:r>
          </w:p>
        </w:tc>
        <w:tc>
          <w:tcPr>
            <w:tcW w:w="1144" w:type="dxa"/>
            <w:vAlign w:val="center"/>
          </w:tcPr>
          <w:p>
            <w:pPr>
              <w:pStyle w:val="0"/>
              <w:jc w:val="center"/>
            </w:pPr>
            <w:r>
              <w:rPr>
                <w:sz w:val="20"/>
              </w:rPr>
              <w:t xml:space="preserve">2315</w:t>
            </w:r>
          </w:p>
        </w:tc>
        <w:tc>
          <w:tcPr>
            <w:tcW w:w="1024" w:type="dxa"/>
            <w:vAlign w:val="center"/>
          </w:tcPr>
          <w:p>
            <w:pPr>
              <w:pStyle w:val="0"/>
              <w:jc w:val="center"/>
            </w:pPr>
            <w:r>
              <w:rPr>
                <w:sz w:val="20"/>
              </w:rPr>
              <w:t xml:space="preserve">2047,0</w:t>
            </w:r>
          </w:p>
        </w:tc>
        <w:tc>
          <w:tcPr>
            <w:tcW w:w="1024" w:type="dxa"/>
            <w:vAlign w:val="center"/>
          </w:tcPr>
          <w:p>
            <w:pPr>
              <w:pStyle w:val="0"/>
              <w:jc w:val="center"/>
            </w:pPr>
            <w:r>
              <w:rPr>
                <w:sz w:val="20"/>
              </w:rPr>
              <w:t xml:space="preserve">2192,7</w:t>
            </w:r>
          </w:p>
        </w:tc>
        <w:tc>
          <w:tcPr>
            <w:tcW w:w="1264" w:type="dxa"/>
            <w:vAlign w:val="center"/>
          </w:tcPr>
          <w:p>
            <w:pPr>
              <w:pStyle w:val="0"/>
              <w:jc w:val="center"/>
            </w:pPr>
            <w:r>
              <w:rPr>
                <w:sz w:val="20"/>
              </w:rPr>
              <w:t xml:space="preserve">52802,7</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19916</w:t>
            </w:r>
          </w:p>
        </w:tc>
        <w:tc>
          <w:tcPr>
            <w:tcW w:w="844" w:type="dxa"/>
            <w:vAlign w:val="center"/>
          </w:tcPr>
          <w:p>
            <w:pPr>
              <w:pStyle w:val="0"/>
              <w:jc w:val="center"/>
            </w:pPr>
            <w:r>
              <w:rPr>
                <w:sz w:val="20"/>
              </w:rPr>
              <w:t xml:space="preserve">11211</w:t>
            </w:r>
          </w:p>
        </w:tc>
        <w:tc>
          <w:tcPr>
            <w:tcW w:w="1144" w:type="dxa"/>
            <w:vAlign w:val="center"/>
          </w:tcPr>
          <w:p>
            <w:pPr>
              <w:pStyle w:val="0"/>
              <w:jc w:val="center"/>
            </w:pPr>
            <w:r>
              <w:rPr>
                <w:sz w:val="20"/>
              </w:rPr>
              <w:t xml:space="preserve">10373,00</w:t>
            </w:r>
          </w:p>
        </w:tc>
        <w:tc>
          <w:tcPr>
            <w:tcW w:w="844" w:type="dxa"/>
            <w:vAlign w:val="center"/>
          </w:tcPr>
          <w:p>
            <w:pPr>
              <w:pStyle w:val="0"/>
              <w:jc w:val="center"/>
            </w:pPr>
            <w:r>
              <w:rPr>
                <w:sz w:val="20"/>
              </w:rPr>
              <w:t xml:space="preserve">4748</w:t>
            </w:r>
          </w:p>
        </w:tc>
        <w:tc>
          <w:tcPr>
            <w:tcW w:w="1144" w:type="dxa"/>
            <w:vAlign w:val="center"/>
          </w:tcPr>
          <w:p>
            <w:pPr>
              <w:pStyle w:val="0"/>
              <w:jc w:val="center"/>
            </w:pPr>
            <w:r>
              <w:rPr>
                <w:sz w:val="20"/>
              </w:rPr>
              <w:t xml:space="preserve">2315</w:t>
            </w:r>
          </w:p>
        </w:tc>
        <w:tc>
          <w:tcPr>
            <w:tcW w:w="1024" w:type="dxa"/>
            <w:vAlign w:val="center"/>
          </w:tcPr>
          <w:p>
            <w:pPr>
              <w:pStyle w:val="0"/>
              <w:jc w:val="center"/>
            </w:pPr>
            <w:r>
              <w:rPr>
                <w:sz w:val="20"/>
              </w:rPr>
              <w:t xml:space="preserve">2047,0</w:t>
            </w:r>
          </w:p>
        </w:tc>
        <w:tc>
          <w:tcPr>
            <w:tcW w:w="1024" w:type="dxa"/>
            <w:vAlign w:val="center"/>
          </w:tcPr>
          <w:p>
            <w:pPr>
              <w:pStyle w:val="0"/>
              <w:jc w:val="center"/>
            </w:pPr>
            <w:r>
              <w:rPr>
                <w:sz w:val="20"/>
              </w:rPr>
              <w:t xml:space="preserve">2192,7</w:t>
            </w:r>
          </w:p>
        </w:tc>
        <w:tc>
          <w:tcPr>
            <w:tcW w:w="1264" w:type="dxa"/>
            <w:vAlign w:val="center"/>
          </w:tcPr>
          <w:p>
            <w:pPr>
              <w:pStyle w:val="0"/>
              <w:jc w:val="center"/>
            </w:pPr>
            <w:r>
              <w:rPr>
                <w:sz w:val="20"/>
              </w:rPr>
              <w:t xml:space="preserve">52802,7</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1.2</w:t>
            </w:r>
          </w:p>
        </w:tc>
        <w:tc>
          <w:tcPr>
            <w:tcW w:w="2314" w:type="dxa"/>
            <w:vAlign w:val="center"/>
            <w:vMerge w:val="restart"/>
          </w:tcPr>
          <w:p>
            <w:pPr>
              <w:pStyle w:val="0"/>
              <w:jc w:val="center"/>
            </w:pPr>
            <w:r>
              <w:rPr>
                <w:sz w:val="20"/>
              </w:rPr>
              <w:t xml:space="preserve">Обеспечение деятельности (оказание услуг) государственных учреждений (организаций)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125014</w:t>
            </w:r>
          </w:p>
        </w:tc>
        <w:tc>
          <w:tcPr>
            <w:tcW w:w="844" w:type="dxa"/>
            <w:vAlign w:val="center"/>
          </w:tcPr>
          <w:p>
            <w:pPr>
              <w:pStyle w:val="0"/>
              <w:jc w:val="center"/>
            </w:pPr>
            <w:r>
              <w:rPr>
                <w:sz w:val="20"/>
              </w:rPr>
              <w:t xml:space="preserve">122845</w:t>
            </w:r>
          </w:p>
        </w:tc>
        <w:tc>
          <w:tcPr>
            <w:tcW w:w="1144" w:type="dxa"/>
            <w:vAlign w:val="center"/>
          </w:tcPr>
          <w:p>
            <w:pPr>
              <w:pStyle w:val="0"/>
              <w:jc w:val="center"/>
            </w:pPr>
            <w:r>
              <w:rPr>
                <w:sz w:val="20"/>
              </w:rPr>
              <w:t xml:space="preserve">129004,00</w:t>
            </w:r>
          </w:p>
        </w:tc>
        <w:tc>
          <w:tcPr>
            <w:tcW w:w="844" w:type="dxa"/>
            <w:vAlign w:val="center"/>
          </w:tcPr>
          <w:p>
            <w:pPr>
              <w:pStyle w:val="0"/>
              <w:jc w:val="center"/>
            </w:pPr>
            <w:r>
              <w:rPr>
                <w:sz w:val="20"/>
              </w:rPr>
              <w:t xml:space="preserve">132847</w:t>
            </w:r>
          </w:p>
        </w:tc>
        <w:tc>
          <w:tcPr>
            <w:tcW w:w="1144" w:type="dxa"/>
            <w:vAlign w:val="center"/>
          </w:tcPr>
          <w:p>
            <w:pPr>
              <w:pStyle w:val="0"/>
              <w:jc w:val="center"/>
            </w:pPr>
            <w:r>
              <w:rPr>
                <w:sz w:val="20"/>
              </w:rPr>
              <w:t xml:space="preserve">142844</w:t>
            </w:r>
          </w:p>
        </w:tc>
        <w:tc>
          <w:tcPr>
            <w:tcW w:w="1024" w:type="dxa"/>
            <w:vAlign w:val="center"/>
          </w:tcPr>
          <w:p>
            <w:pPr>
              <w:pStyle w:val="0"/>
              <w:jc w:val="center"/>
            </w:pPr>
            <w:r>
              <w:rPr>
                <w:sz w:val="20"/>
              </w:rPr>
              <w:t xml:space="preserve">140339,0</w:t>
            </w:r>
          </w:p>
        </w:tc>
        <w:tc>
          <w:tcPr>
            <w:tcW w:w="1024" w:type="dxa"/>
            <w:vAlign w:val="center"/>
          </w:tcPr>
          <w:p>
            <w:pPr>
              <w:pStyle w:val="0"/>
              <w:jc w:val="center"/>
            </w:pPr>
            <w:r>
              <w:rPr>
                <w:sz w:val="20"/>
              </w:rPr>
              <w:t xml:space="preserve">192406,4</w:t>
            </w:r>
          </w:p>
        </w:tc>
        <w:tc>
          <w:tcPr>
            <w:tcW w:w="1264" w:type="dxa"/>
            <w:vAlign w:val="center"/>
          </w:tcPr>
          <w:p>
            <w:pPr>
              <w:pStyle w:val="0"/>
              <w:jc w:val="center"/>
            </w:pPr>
            <w:r>
              <w:rPr>
                <w:sz w:val="20"/>
              </w:rPr>
              <w:t xml:space="preserve">985299,4</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125014</w:t>
            </w:r>
          </w:p>
        </w:tc>
        <w:tc>
          <w:tcPr>
            <w:tcW w:w="844" w:type="dxa"/>
            <w:vAlign w:val="center"/>
          </w:tcPr>
          <w:p>
            <w:pPr>
              <w:pStyle w:val="0"/>
              <w:jc w:val="center"/>
            </w:pPr>
            <w:r>
              <w:rPr>
                <w:sz w:val="20"/>
              </w:rPr>
              <w:t xml:space="preserve">122845</w:t>
            </w:r>
          </w:p>
        </w:tc>
        <w:tc>
          <w:tcPr>
            <w:tcW w:w="1144" w:type="dxa"/>
            <w:vAlign w:val="center"/>
          </w:tcPr>
          <w:p>
            <w:pPr>
              <w:pStyle w:val="0"/>
              <w:jc w:val="center"/>
            </w:pPr>
            <w:r>
              <w:rPr>
                <w:sz w:val="20"/>
              </w:rPr>
              <w:t xml:space="preserve">129004,00</w:t>
            </w:r>
          </w:p>
        </w:tc>
        <w:tc>
          <w:tcPr>
            <w:tcW w:w="844" w:type="dxa"/>
            <w:vAlign w:val="center"/>
          </w:tcPr>
          <w:p>
            <w:pPr>
              <w:pStyle w:val="0"/>
              <w:jc w:val="center"/>
            </w:pPr>
            <w:r>
              <w:rPr>
                <w:sz w:val="20"/>
              </w:rPr>
              <w:t xml:space="preserve">132847</w:t>
            </w:r>
          </w:p>
        </w:tc>
        <w:tc>
          <w:tcPr>
            <w:tcW w:w="1144" w:type="dxa"/>
            <w:vAlign w:val="center"/>
          </w:tcPr>
          <w:p>
            <w:pPr>
              <w:pStyle w:val="0"/>
              <w:jc w:val="center"/>
            </w:pPr>
            <w:r>
              <w:rPr>
                <w:sz w:val="20"/>
              </w:rPr>
              <w:t xml:space="preserve">142844</w:t>
            </w:r>
          </w:p>
        </w:tc>
        <w:tc>
          <w:tcPr>
            <w:tcW w:w="1024" w:type="dxa"/>
            <w:vAlign w:val="center"/>
          </w:tcPr>
          <w:p>
            <w:pPr>
              <w:pStyle w:val="0"/>
              <w:jc w:val="center"/>
            </w:pPr>
            <w:r>
              <w:rPr>
                <w:sz w:val="20"/>
              </w:rPr>
              <w:t xml:space="preserve">140339,0</w:t>
            </w:r>
          </w:p>
        </w:tc>
        <w:tc>
          <w:tcPr>
            <w:tcW w:w="1024" w:type="dxa"/>
            <w:vAlign w:val="center"/>
          </w:tcPr>
          <w:p>
            <w:pPr>
              <w:pStyle w:val="0"/>
              <w:jc w:val="center"/>
            </w:pPr>
            <w:r>
              <w:rPr>
                <w:sz w:val="20"/>
              </w:rPr>
              <w:t xml:space="preserve">192406,4</w:t>
            </w:r>
          </w:p>
        </w:tc>
        <w:tc>
          <w:tcPr>
            <w:tcW w:w="1264" w:type="dxa"/>
            <w:vAlign w:val="center"/>
          </w:tcPr>
          <w:p>
            <w:pPr>
              <w:pStyle w:val="0"/>
              <w:jc w:val="center"/>
            </w:pPr>
            <w:r>
              <w:rPr>
                <w:sz w:val="20"/>
              </w:rPr>
              <w:t xml:space="preserve">985299,4</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1.3</w:t>
            </w:r>
          </w:p>
        </w:tc>
        <w:tc>
          <w:tcPr>
            <w:tcW w:w="2314" w:type="dxa"/>
            <w:vAlign w:val="center"/>
            <w:vMerge w:val="restart"/>
          </w:tcPr>
          <w:p>
            <w:pPr>
              <w:pStyle w:val="0"/>
              <w:jc w:val="center"/>
            </w:pPr>
            <w:r>
              <w:rPr>
                <w:sz w:val="20"/>
              </w:rPr>
              <w:t xml:space="preserve">Осуществление органами государственной власти Российской Федерации отдельных полномочий в области лесных отношений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85666</w:t>
            </w:r>
          </w:p>
        </w:tc>
        <w:tc>
          <w:tcPr>
            <w:tcW w:w="844" w:type="dxa"/>
            <w:vAlign w:val="center"/>
          </w:tcPr>
          <w:p>
            <w:pPr>
              <w:pStyle w:val="0"/>
              <w:jc w:val="center"/>
            </w:pPr>
            <w:r>
              <w:rPr>
                <w:sz w:val="20"/>
              </w:rPr>
              <w:t xml:space="preserve">77896</w:t>
            </w:r>
          </w:p>
        </w:tc>
        <w:tc>
          <w:tcPr>
            <w:tcW w:w="1144" w:type="dxa"/>
            <w:vAlign w:val="center"/>
          </w:tcPr>
          <w:p>
            <w:pPr>
              <w:pStyle w:val="0"/>
              <w:jc w:val="center"/>
            </w:pPr>
            <w:r>
              <w:rPr>
                <w:sz w:val="20"/>
              </w:rPr>
              <w:t xml:space="preserve">67316,60</w:t>
            </w:r>
          </w:p>
        </w:tc>
        <w:tc>
          <w:tcPr>
            <w:tcW w:w="844" w:type="dxa"/>
            <w:vAlign w:val="center"/>
          </w:tcPr>
          <w:p>
            <w:pPr>
              <w:pStyle w:val="0"/>
              <w:jc w:val="center"/>
            </w:pPr>
            <w:r>
              <w:rPr>
                <w:sz w:val="20"/>
              </w:rPr>
              <w:t xml:space="preserve">74185</w:t>
            </w:r>
          </w:p>
        </w:tc>
        <w:tc>
          <w:tcPr>
            <w:tcW w:w="1144" w:type="dxa"/>
            <w:vAlign w:val="center"/>
          </w:tcPr>
          <w:p>
            <w:pPr>
              <w:pStyle w:val="0"/>
              <w:jc w:val="center"/>
            </w:pPr>
            <w:r>
              <w:rPr>
                <w:sz w:val="20"/>
              </w:rPr>
              <w:t xml:space="preserve">110888</w:t>
            </w:r>
          </w:p>
        </w:tc>
        <w:tc>
          <w:tcPr>
            <w:tcW w:w="1024" w:type="dxa"/>
            <w:vAlign w:val="center"/>
          </w:tcPr>
          <w:p>
            <w:pPr>
              <w:pStyle w:val="0"/>
              <w:jc w:val="center"/>
            </w:pPr>
            <w:r>
              <w:rPr>
                <w:sz w:val="20"/>
              </w:rPr>
              <w:t xml:space="preserve">114323,0</w:t>
            </w:r>
          </w:p>
        </w:tc>
        <w:tc>
          <w:tcPr>
            <w:tcW w:w="1024" w:type="dxa"/>
            <w:vAlign w:val="center"/>
          </w:tcPr>
          <w:p>
            <w:pPr>
              <w:pStyle w:val="0"/>
              <w:jc w:val="center"/>
            </w:pPr>
            <w:r>
              <w:rPr>
                <w:sz w:val="20"/>
              </w:rPr>
              <w:t xml:space="preserve">119740,1</w:t>
            </w:r>
          </w:p>
        </w:tc>
        <w:tc>
          <w:tcPr>
            <w:tcW w:w="1264" w:type="dxa"/>
            <w:vAlign w:val="center"/>
          </w:tcPr>
          <w:p>
            <w:pPr>
              <w:pStyle w:val="0"/>
              <w:jc w:val="center"/>
            </w:pPr>
            <w:r>
              <w:rPr>
                <w:sz w:val="20"/>
              </w:rPr>
              <w:t xml:space="preserve">650014,7</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85666</w:t>
            </w:r>
          </w:p>
        </w:tc>
        <w:tc>
          <w:tcPr>
            <w:tcW w:w="844" w:type="dxa"/>
            <w:vAlign w:val="center"/>
          </w:tcPr>
          <w:p>
            <w:pPr>
              <w:pStyle w:val="0"/>
              <w:jc w:val="center"/>
            </w:pPr>
            <w:r>
              <w:rPr>
                <w:sz w:val="20"/>
              </w:rPr>
              <w:t xml:space="preserve">77896</w:t>
            </w:r>
          </w:p>
        </w:tc>
        <w:tc>
          <w:tcPr>
            <w:tcW w:w="1144" w:type="dxa"/>
            <w:vAlign w:val="center"/>
          </w:tcPr>
          <w:p>
            <w:pPr>
              <w:pStyle w:val="0"/>
              <w:jc w:val="center"/>
            </w:pPr>
            <w:r>
              <w:rPr>
                <w:sz w:val="20"/>
              </w:rPr>
              <w:t xml:space="preserve">67316,60</w:t>
            </w:r>
          </w:p>
        </w:tc>
        <w:tc>
          <w:tcPr>
            <w:tcW w:w="844" w:type="dxa"/>
            <w:vAlign w:val="center"/>
          </w:tcPr>
          <w:p>
            <w:pPr>
              <w:pStyle w:val="0"/>
              <w:jc w:val="center"/>
            </w:pPr>
            <w:r>
              <w:rPr>
                <w:sz w:val="20"/>
              </w:rPr>
              <w:t xml:space="preserve">74185</w:t>
            </w:r>
          </w:p>
        </w:tc>
        <w:tc>
          <w:tcPr>
            <w:tcW w:w="1144" w:type="dxa"/>
            <w:vAlign w:val="center"/>
          </w:tcPr>
          <w:p>
            <w:pPr>
              <w:pStyle w:val="0"/>
              <w:jc w:val="center"/>
            </w:pPr>
            <w:r>
              <w:rPr>
                <w:sz w:val="20"/>
              </w:rPr>
              <w:t xml:space="preserve">110888</w:t>
            </w:r>
          </w:p>
        </w:tc>
        <w:tc>
          <w:tcPr>
            <w:tcW w:w="1024" w:type="dxa"/>
            <w:vAlign w:val="center"/>
          </w:tcPr>
          <w:p>
            <w:pPr>
              <w:pStyle w:val="0"/>
              <w:jc w:val="center"/>
            </w:pPr>
            <w:r>
              <w:rPr>
                <w:sz w:val="20"/>
              </w:rPr>
              <w:t xml:space="preserve">114323,0</w:t>
            </w:r>
          </w:p>
        </w:tc>
        <w:tc>
          <w:tcPr>
            <w:tcW w:w="1024" w:type="dxa"/>
            <w:vAlign w:val="center"/>
          </w:tcPr>
          <w:p>
            <w:pPr>
              <w:pStyle w:val="0"/>
              <w:jc w:val="center"/>
            </w:pPr>
            <w:r>
              <w:rPr>
                <w:sz w:val="20"/>
              </w:rPr>
              <w:t xml:space="preserve">119740,1</w:t>
            </w:r>
          </w:p>
        </w:tc>
        <w:tc>
          <w:tcPr>
            <w:tcW w:w="1264" w:type="dxa"/>
            <w:vAlign w:val="center"/>
          </w:tcPr>
          <w:p>
            <w:pPr>
              <w:pStyle w:val="0"/>
              <w:jc w:val="center"/>
            </w:pPr>
            <w:r>
              <w:rPr>
                <w:sz w:val="20"/>
              </w:rPr>
              <w:t xml:space="preserve">650014,7</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1.4</w:t>
            </w:r>
          </w:p>
        </w:tc>
        <w:tc>
          <w:tcPr>
            <w:tcW w:w="2314" w:type="dxa"/>
            <w:vAlign w:val="center"/>
            <w:vMerge w:val="restart"/>
          </w:tcPr>
          <w:p>
            <w:pPr>
              <w:pStyle w:val="0"/>
              <w:jc w:val="center"/>
            </w:pPr>
            <w:r>
              <w:rPr>
                <w:sz w:val="20"/>
              </w:rPr>
              <w:t xml:space="preserve">Приобретение специализированной лесопожарной техники и оборудования</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1815</w:t>
            </w:r>
          </w:p>
        </w:tc>
        <w:tc>
          <w:tcPr>
            <w:tcW w:w="844" w:type="dxa"/>
            <w:vAlign w:val="center"/>
          </w:tcPr>
          <w:p>
            <w:pPr>
              <w:pStyle w:val="0"/>
              <w:jc w:val="center"/>
            </w:pPr>
            <w:r>
              <w:rPr>
                <w:sz w:val="20"/>
              </w:rPr>
              <w:t xml:space="preserve">1815</w:t>
            </w:r>
          </w:p>
        </w:tc>
        <w:tc>
          <w:tcPr>
            <w:tcW w:w="1144" w:type="dxa"/>
            <w:vAlign w:val="center"/>
          </w:tcPr>
          <w:p>
            <w:pPr>
              <w:pStyle w:val="0"/>
              <w:jc w:val="center"/>
            </w:pPr>
            <w:r>
              <w:rPr>
                <w:sz w:val="20"/>
              </w:rPr>
              <w:t xml:space="preserve">1755,00</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5385,0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1815</w:t>
            </w:r>
          </w:p>
        </w:tc>
        <w:tc>
          <w:tcPr>
            <w:tcW w:w="844" w:type="dxa"/>
            <w:vAlign w:val="center"/>
          </w:tcPr>
          <w:p>
            <w:pPr>
              <w:pStyle w:val="0"/>
              <w:jc w:val="center"/>
            </w:pPr>
            <w:r>
              <w:rPr>
                <w:sz w:val="20"/>
              </w:rPr>
              <w:t xml:space="preserve">1815</w:t>
            </w:r>
          </w:p>
        </w:tc>
        <w:tc>
          <w:tcPr>
            <w:tcW w:w="1144" w:type="dxa"/>
            <w:vAlign w:val="center"/>
          </w:tcPr>
          <w:p>
            <w:pPr>
              <w:pStyle w:val="0"/>
              <w:jc w:val="center"/>
            </w:pPr>
            <w:r>
              <w:rPr>
                <w:sz w:val="20"/>
              </w:rPr>
              <w:t xml:space="preserve">1566,00</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5196,0</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189,00</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189,0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1.5</w:t>
            </w:r>
          </w:p>
        </w:tc>
        <w:tc>
          <w:tcPr>
            <w:tcW w:w="2314" w:type="dxa"/>
            <w:vAlign w:val="center"/>
            <w:vMerge w:val="restart"/>
          </w:tcPr>
          <w:p>
            <w:pPr>
              <w:pStyle w:val="0"/>
              <w:jc w:val="center"/>
            </w:pPr>
            <w:r>
              <w:rPr>
                <w:sz w:val="20"/>
              </w:rPr>
              <w:t xml:space="preserve">Создание полезащитных полос</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16940,00</w:t>
            </w:r>
          </w:p>
        </w:tc>
        <w:tc>
          <w:tcPr>
            <w:tcW w:w="844" w:type="dxa"/>
            <w:vAlign w:val="center"/>
          </w:tcPr>
          <w:p>
            <w:pPr>
              <w:pStyle w:val="0"/>
              <w:jc w:val="center"/>
            </w:pPr>
            <w:r>
              <w:rPr>
                <w:sz w:val="20"/>
              </w:rPr>
              <w:t xml:space="preserve">6709</w:t>
            </w:r>
          </w:p>
        </w:tc>
        <w:tc>
          <w:tcPr>
            <w:tcW w:w="1144" w:type="dxa"/>
            <w:vAlign w:val="center"/>
          </w:tcPr>
          <w:p>
            <w:pPr>
              <w:pStyle w:val="0"/>
              <w:jc w:val="center"/>
            </w:pPr>
            <w:r>
              <w:rPr>
                <w:sz w:val="20"/>
              </w:rPr>
              <w:t xml:space="preserve">11709</w:t>
            </w:r>
          </w:p>
        </w:tc>
        <w:tc>
          <w:tcPr>
            <w:tcW w:w="1024" w:type="dxa"/>
            <w:vAlign w:val="center"/>
          </w:tcPr>
          <w:p>
            <w:pPr>
              <w:pStyle w:val="0"/>
              <w:jc w:val="center"/>
            </w:pPr>
            <w:r>
              <w:rPr>
                <w:sz w:val="20"/>
              </w:rPr>
              <w:t xml:space="preserve">11709,0</w:t>
            </w:r>
          </w:p>
        </w:tc>
        <w:tc>
          <w:tcPr>
            <w:tcW w:w="1024" w:type="dxa"/>
            <w:vAlign w:val="center"/>
          </w:tcPr>
          <w:p>
            <w:pPr>
              <w:pStyle w:val="0"/>
              <w:jc w:val="center"/>
            </w:pPr>
            <w:r>
              <w:rPr>
                <w:sz w:val="20"/>
              </w:rPr>
              <w:t xml:space="preserve">10600,9</w:t>
            </w:r>
          </w:p>
        </w:tc>
        <w:tc>
          <w:tcPr>
            <w:tcW w:w="1264" w:type="dxa"/>
            <w:vAlign w:val="center"/>
          </w:tcPr>
          <w:p>
            <w:pPr>
              <w:pStyle w:val="0"/>
              <w:jc w:val="center"/>
            </w:pPr>
            <w:r>
              <w:rPr>
                <w:sz w:val="20"/>
              </w:rPr>
              <w:t xml:space="preserve">57667,9</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16940,00</w:t>
            </w:r>
          </w:p>
        </w:tc>
        <w:tc>
          <w:tcPr>
            <w:tcW w:w="844" w:type="dxa"/>
            <w:vAlign w:val="center"/>
          </w:tcPr>
          <w:p>
            <w:pPr>
              <w:pStyle w:val="0"/>
              <w:jc w:val="center"/>
            </w:pPr>
            <w:r>
              <w:rPr>
                <w:sz w:val="20"/>
              </w:rPr>
              <w:t xml:space="preserve">6709</w:t>
            </w:r>
          </w:p>
        </w:tc>
        <w:tc>
          <w:tcPr>
            <w:tcW w:w="1144" w:type="dxa"/>
            <w:vAlign w:val="center"/>
          </w:tcPr>
          <w:p>
            <w:pPr>
              <w:pStyle w:val="0"/>
              <w:jc w:val="center"/>
            </w:pPr>
            <w:r>
              <w:rPr>
                <w:sz w:val="20"/>
              </w:rPr>
              <w:t xml:space="preserve">11709</w:t>
            </w:r>
          </w:p>
        </w:tc>
        <w:tc>
          <w:tcPr>
            <w:tcW w:w="1024" w:type="dxa"/>
            <w:vAlign w:val="center"/>
          </w:tcPr>
          <w:p>
            <w:pPr>
              <w:pStyle w:val="0"/>
              <w:jc w:val="center"/>
            </w:pPr>
            <w:r>
              <w:rPr>
                <w:sz w:val="20"/>
              </w:rPr>
              <w:t xml:space="preserve">11709,0</w:t>
            </w:r>
          </w:p>
        </w:tc>
        <w:tc>
          <w:tcPr>
            <w:tcW w:w="1024" w:type="dxa"/>
            <w:vAlign w:val="center"/>
          </w:tcPr>
          <w:p>
            <w:pPr>
              <w:pStyle w:val="0"/>
              <w:jc w:val="center"/>
            </w:pPr>
            <w:r>
              <w:rPr>
                <w:sz w:val="20"/>
              </w:rPr>
              <w:t xml:space="preserve">10600,9</w:t>
            </w:r>
          </w:p>
        </w:tc>
        <w:tc>
          <w:tcPr>
            <w:tcW w:w="1264" w:type="dxa"/>
            <w:vAlign w:val="center"/>
          </w:tcPr>
          <w:p>
            <w:pPr>
              <w:pStyle w:val="0"/>
              <w:jc w:val="center"/>
            </w:pPr>
            <w:r>
              <w:rPr>
                <w:sz w:val="20"/>
              </w:rPr>
              <w:t xml:space="preserve">57667,9</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Проект 1.GА</w:t>
            </w:r>
          </w:p>
        </w:tc>
        <w:tc>
          <w:tcPr>
            <w:tcW w:w="2314" w:type="dxa"/>
            <w:vAlign w:val="center"/>
            <w:vMerge w:val="restart"/>
          </w:tcPr>
          <w:p>
            <w:pPr>
              <w:pStyle w:val="0"/>
              <w:jc w:val="center"/>
            </w:pPr>
            <w:r>
              <w:rPr>
                <w:sz w:val="20"/>
              </w:rPr>
              <w:t xml:space="preserve">Сохранение лесов</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t xml:space="preserve">27638,9</w:t>
            </w:r>
          </w:p>
        </w:tc>
        <w:tc>
          <w:tcPr>
            <w:tcW w:w="1024" w:type="dxa"/>
            <w:vAlign w:val="center"/>
          </w:tcPr>
          <w:p>
            <w:pPr>
              <w:pStyle w:val="0"/>
              <w:jc w:val="center"/>
            </w:pPr>
            <w:r>
              <w:rPr>
                <w:sz w:val="20"/>
              </w:rPr>
              <w:t xml:space="preserve">18140,3</w:t>
            </w:r>
          </w:p>
        </w:tc>
        <w:tc>
          <w:tcPr>
            <w:tcW w:w="1264" w:type="dxa"/>
            <w:vAlign w:val="center"/>
          </w:tcPr>
          <w:p>
            <w:pPr>
              <w:pStyle w:val="0"/>
              <w:jc w:val="center"/>
            </w:pPr>
            <w:r>
              <w:rPr>
                <w:sz w:val="20"/>
              </w:rPr>
              <w:t xml:space="preserve">45779,2</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t xml:space="preserve">27638,9</w:t>
            </w:r>
          </w:p>
        </w:tc>
        <w:tc>
          <w:tcPr>
            <w:tcW w:w="1024" w:type="dxa"/>
            <w:vAlign w:val="center"/>
          </w:tcPr>
          <w:p>
            <w:pPr>
              <w:pStyle w:val="0"/>
              <w:jc w:val="center"/>
            </w:pPr>
            <w:r>
              <w:rPr>
                <w:sz w:val="20"/>
              </w:rPr>
              <w:t xml:space="preserve">18140,3</w:t>
            </w:r>
          </w:p>
        </w:tc>
        <w:tc>
          <w:tcPr>
            <w:tcW w:w="1264" w:type="dxa"/>
            <w:vAlign w:val="center"/>
          </w:tcPr>
          <w:p>
            <w:pPr>
              <w:pStyle w:val="0"/>
              <w:jc w:val="center"/>
            </w:pPr>
            <w:r>
              <w:rPr>
                <w:sz w:val="20"/>
              </w:rPr>
              <w:t xml:space="preserve">45779,2</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2</w:t>
            </w:r>
          </w:p>
        </w:tc>
        <w:tc>
          <w:tcPr>
            <w:tcW w:w="2314" w:type="dxa"/>
            <w:vAlign w:val="center"/>
            <w:vMerge w:val="restart"/>
          </w:tcPr>
          <w:p>
            <w:pPr>
              <w:pStyle w:val="0"/>
              <w:jc w:val="center"/>
            </w:pPr>
            <w:r>
              <w:rPr>
                <w:sz w:val="20"/>
              </w:rPr>
              <w:t xml:space="preserve">Развитие водохозяйственного комплекса</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39577</w:t>
            </w:r>
          </w:p>
        </w:tc>
        <w:tc>
          <w:tcPr>
            <w:tcW w:w="844" w:type="dxa"/>
            <w:vAlign w:val="center"/>
          </w:tcPr>
          <w:p>
            <w:pPr>
              <w:pStyle w:val="0"/>
              <w:jc w:val="center"/>
            </w:pPr>
            <w:r>
              <w:rPr>
                <w:sz w:val="20"/>
              </w:rPr>
              <w:t xml:space="preserve">53345</w:t>
            </w:r>
          </w:p>
        </w:tc>
        <w:tc>
          <w:tcPr>
            <w:tcW w:w="1144" w:type="dxa"/>
            <w:vAlign w:val="center"/>
          </w:tcPr>
          <w:p>
            <w:pPr>
              <w:pStyle w:val="0"/>
              <w:jc w:val="center"/>
            </w:pPr>
            <w:r>
              <w:rPr>
                <w:sz w:val="20"/>
              </w:rPr>
              <w:t xml:space="preserve">42016,74</w:t>
            </w:r>
          </w:p>
        </w:tc>
        <w:tc>
          <w:tcPr>
            <w:tcW w:w="844" w:type="dxa"/>
            <w:vAlign w:val="center"/>
          </w:tcPr>
          <w:p>
            <w:pPr>
              <w:pStyle w:val="0"/>
              <w:jc w:val="center"/>
            </w:pPr>
            <w:r>
              <w:rPr>
                <w:sz w:val="20"/>
              </w:rPr>
              <w:t xml:space="preserve">7034</w:t>
            </w:r>
          </w:p>
        </w:tc>
        <w:tc>
          <w:tcPr>
            <w:tcW w:w="1144" w:type="dxa"/>
            <w:vAlign w:val="center"/>
          </w:tcPr>
          <w:p>
            <w:pPr>
              <w:pStyle w:val="0"/>
              <w:jc w:val="center"/>
            </w:pPr>
            <w:r>
              <w:rPr>
                <w:sz w:val="20"/>
              </w:rPr>
              <w:t xml:space="preserve">20881</w:t>
            </w:r>
          </w:p>
        </w:tc>
        <w:tc>
          <w:tcPr>
            <w:tcW w:w="1024" w:type="dxa"/>
            <w:vAlign w:val="center"/>
          </w:tcPr>
          <w:p>
            <w:pPr>
              <w:pStyle w:val="0"/>
              <w:jc w:val="center"/>
            </w:pPr>
            <w:r>
              <w:rPr>
                <w:sz w:val="20"/>
              </w:rPr>
              <w:t xml:space="preserve">25283,7</w:t>
            </w:r>
          </w:p>
        </w:tc>
        <w:tc>
          <w:tcPr>
            <w:tcW w:w="1024" w:type="dxa"/>
            <w:vAlign w:val="center"/>
          </w:tcPr>
          <w:p>
            <w:pPr>
              <w:pStyle w:val="0"/>
              <w:jc w:val="center"/>
            </w:pPr>
            <w:r>
              <w:rPr>
                <w:sz w:val="20"/>
              </w:rPr>
              <w:t xml:space="preserve">26179,0</w:t>
            </w:r>
          </w:p>
        </w:tc>
        <w:tc>
          <w:tcPr>
            <w:tcW w:w="1264" w:type="dxa"/>
            <w:vAlign w:val="center"/>
          </w:tcPr>
          <w:p>
            <w:pPr>
              <w:pStyle w:val="0"/>
              <w:jc w:val="center"/>
            </w:pPr>
            <w:r>
              <w:rPr>
                <w:sz w:val="20"/>
              </w:rPr>
              <w:t xml:space="preserve">214316,44</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24436</w:t>
            </w:r>
          </w:p>
        </w:tc>
        <w:tc>
          <w:tcPr>
            <w:tcW w:w="844" w:type="dxa"/>
            <w:vAlign w:val="center"/>
          </w:tcPr>
          <w:p>
            <w:pPr>
              <w:pStyle w:val="0"/>
              <w:jc w:val="center"/>
            </w:pPr>
            <w:r>
              <w:rPr>
                <w:sz w:val="20"/>
              </w:rPr>
              <w:t xml:space="preserve">30225</w:t>
            </w:r>
          </w:p>
        </w:tc>
        <w:tc>
          <w:tcPr>
            <w:tcW w:w="1144" w:type="dxa"/>
            <w:vAlign w:val="center"/>
          </w:tcPr>
          <w:p>
            <w:pPr>
              <w:pStyle w:val="0"/>
              <w:jc w:val="center"/>
            </w:pPr>
            <w:r>
              <w:rPr>
                <w:sz w:val="20"/>
              </w:rPr>
              <w:t xml:space="preserve">33829,00</w:t>
            </w:r>
          </w:p>
        </w:tc>
        <w:tc>
          <w:tcPr>
            <w:tcW w:w="844" w:type="dxa"/>
            <w:vAlign w:val="center"/>
          </w:tcPr>
          <w:p>
            <w:pPr>
              <w:pStyle w:val="0"/>
              <w:jc w:val="center"/>
            </w:pPr>
            <w:r>
              <w:rPr>
                <w:sz w:val="20"/>
              </w:rPr>
              <w:t xml:space="preserve">7034</w:t>
            </w:r>
          </w:p>
        </w:tc>
        <w:tc>
          <w:tcPr>
            <w:tcW w:w="1144" w:type="dxa"/>
            <w:vAlign w:val="center"/>
          </w:tcPr>
          <w:p>
            <w:pPr>
              <w:pStyle w:val="0"/>
              <w:jc w:val="center"/>
            </w:pPr>
            <w:r>
              <w:rPr>
                <w:sz w:val="20"/>
              </w:rPr>
              <w:t xml:space="preserve">17700</w:t>
            </w:r>
          </w:p>
        </w:tc>
        <w:tc>
          <w:tcPr>
            <w:tcW w:w="1024" w:type="dxa"/>
            <w:vAlign w:val="center"/>
          </w:tcPr>
          <w:p>
            <w:pPr>
              <w:pStyle w:val="0"/>
              <w:jc w:val="center"/>
            </w:pPr>
            <w:r>
              <w:rPr>
                <w:sz w:val="20"/>
              </w:rPr>
              <w:t xml:space="preserve">20734,1</w:t>
            </w:r>
          </w:p>
        </w:tc>
        <w:tc>
          <w:tcPr>
            <w:tcW w:w="1024" w:type="dxa"/>
            <w:vAlign w:val="center"/>
          </w:tcPr>
          <w:p>
            <w:pPr>
              <w:pStyle w:val="0"/>
              <w:jc w:val="center"/>
            </w:pPr>
            <w:r>
              <w:rPr>
                <w:sz w:val="20"/>
              </w:rPr>
              <w:t xml:space="preserve">21078,2</w:t>
            </w:r>
          </w:p>
        </w:tc>
        <w:tc>
          <w:tcPr>
            <w:tcW w:w="1264" w:type="dxa"/>
            <w:vAlign w:val="center"/>
          </w:tcPr>
          <w:p>
            <w:pPr>
              <w:pStyle w:val="0"/>
              <w:jc w:val="center"/>
            </w:pPr>
            <w:r>
              <w:rPr>
                <w:sz w:val="20"/>
              </w:rPr>
              <w:t xml:space="preserve">155036,3</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900</w:t>
            </w:r>
          </w:p>
        </w:tc>
        <w:tc>
          <w:tcPr>
            <w:tcW w:w="844" w:type="dxa"/>
            <w:vAlign w:val="center"/>
          </w:tcPr>
          <w:p>
            <w:pPr>
              <w:pStyle w:val="0"/>
              <w:jc w:val="center"/>
            </w:pPr>
            <w:r>
              <w:rPr>
                <w:sz w:val="20"/>
              </w:rPr>
              <w:t xml:space="preserve">900</w:t>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2832</w:t>
            </w:r>
          </w:p>
        </w:tc>
        <w:tc>
          <w:tcPr>
            <w:tcW w:w="1024" w:type="dxa"/>
            <w:vAlign w:val="center"/>
          </w:tcPr>
          <w:p>
            <w:pPr>
              <w:pStyle w:val="0"/>
              <w:jc w:val="center"/>
            </w:pPr>
            <w:r>
              <w:rPr>
                <w:sz w:val="20"/>
              </w:rPr>
              <w:t xml:space="preserve">3991,6</w:t>
            </w:r>
          </w:p>
        </w:tc>
        <w:tc>
          <w:tcPr>
            <w:tcW w:w="1024" w:type="dxa"/>
            <w:vAlign w:val="center"/>
          </w:tcPr>
          <w:p>
            <w:pPr>
              <w:pStyle w:val="0"/>
              <w:jc w:val="center"/>
            </w:pPr>
            <w:r>
              <w:rPr>
                <w:sz w:val="20"/>
              </w:rPr>
              <w:t xml:space="preserve">4078,6</w:t>
            </w:r>
          </w:p>
        </w:tc>
        <w:tc>
          <w:tcPr>
            <w:tcW w:w="1264" w:type="dxa"/>
            <w:vAlign w:val="center"/>
          </w:tcPr>
          <w:p>
            <w:pPr>
              <w:pStyle w:val="0"/>
              <w:jc w:val="center"/>
            </w:pPr>
            <w:r>
              <w:rPr>
                <w:sz w:val="20"/>
              </w:rPr>
              <w:t xml:space="preserve">12702,2</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t xml:space="preserve">14241</w:t>
            </w:r>
          </w:p>
        </w:tc>
        <w:tc>
          <w:tcPr>
            <w:tcW w:w="844" w:type="dxa"/>
            <w:vAlign w:val="center"/>
          </w:tcPr>
          <w:p>
            <w:pPr>
              <w:pStyle w:val="0"/>
              <w:jc w:val="center"/>
            </w:pPr>
            <w:r>
              <w:rPr>
                <w:sz w:val="20"/>
              </w:rPr>
              <w:t xml:space="preserve">22220</w:t>
            </w:r>
          </w:p>
        </w:tc>
        <w:tc>
          <w:tcPr>
            <w:tcW w:w="1144" w:type="dxa"/>
            <w:vAlign w:val="center"/>
          </w:tcPr>
          <w:p>
            <w:pPr>
              <w:pStyle w:val="0"/>
              <w:jc w:val="center"/>
            </w:pPr>
            <w:r>
              <w:rPr>
                <w:sz w:val="20"/>
              </w:rPr>
              <w:t xml:space="preserve">8187,74</w:t>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349</w:t>
            </w:r>
          </w:p>
        </w:tc>
        <w:tc>
          <w:tcPr>
            <w:tcW w:w="1024" w:type="dxa"/>
            <w:vAlign w:val="center"/>
          </w:tcPr>
          <w:p>
            <w:pPr>
              <w:pStyle w:val="0"/>
              <w:jc w:val="center"/>
            </w:pPr>
            <w:r>
              <w:rPr>
                <w:sz w:val="20"/>
              </w:rPr>
              <w:t xml:space="preserve">558,0</w:t>
            </w:r>
          </w:p>
        </w:tc>
        <w:tc>
          <w:tcPr>
            <w:tcW w:w="1024" w:type="dxa"/>
            <w:vAlign w:val="center"/>
          </w:tcPr>
          <w:p>
            <w:pPr>
              <w:pStyle w:val="0"/>
              <w:jc w:val="center"/>
            </w:pPr>
            <w:r>
              <w:rPr>
                <w:sz w:val="20"/>
              </w:rPr>
              <w:t xml:space="preserve">1022,2</w:t>
            </w:r>
          </w:p>
        </w:tc>
        <w:tc>
          <w:tcPr>
            <w:tcW w:w="1264" w:type="dxa"/>
            <w:vAlign w:val="center"/>
          </w:tcPr>
          <w:p>
            <w:pPr>
              <w:pStyle w:val="0"/>
              <w:jc w:val="center"/>
            </w:pPr>
            <w:r>
              <w:rPr>
                <w:sz w:val="20"/>
              </w:rPr>
              <w:t xml:space="preserve">46577,94</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2.1</w:t>
            </w:r>
          </w:p>
        </w:tc>
        <w:tc>
          <w:tcPr>
            <w:tcW w:w="2314" w:type="dxa"/>
            <w:vAlign w:val="center"/>
            <w:vMerge w:val="restart"/>
          </w:tcPr>
          <w:p>
            <w:pPr>
              <w:pStyle w:val="0"/>
              <w:jc w:val="center"/>
            </w:pPr>
            <w:r>
              <w:rPr>
                <w:sz w:val="20"/>
              </w:rPr>
              <w:t xml:space="preserve">Осуществление органами государственной власти субъекта Российской Федерации отдельных полномочий в области водных отношений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8378</w:t>
            </w:r>
          </w:p>
        </w:tc>
        <w:tc>
          <w:tcPr>
            <w:tcW w:w="844" w:type="dxa"/>
            <w:vAlign w:val="center"/>
          </w:tcPr>
          <w:p>
            <w:pPr>
              <w:pStyle w:val="0"/>
              <w:jc w:val="center"/>
            </w:pPr>
            <w:r>
              <w:rPr>
                <w:sz w:val="20"/>
              </w:rPr>
              <w:t xml:space="preserve">7309</w:t>
            </w:r>
          </w:p>
        </w:tc>
        <w:tc>
          <w:tcPr>
            <w:tcW w:w="1144" w:type="dxa"/>
            <w:vAlign w:val="center"/>
          </w:tcPr>
          <w:p>
            <w:pPr>
              <w:pStyle w:val="0"/>
              <w:jc w:val="center"/>
            </w:pPr>
            <w:r>
              <w:rPr>
                <w:sz w:val="20"/>
              </w:rPr>
              <w:t xml:space="preserve">7009,00</w:t>
            </w:r>
          </w:p>
        </w:tc>
        <w:tc>
          <w:tcPr>
            <w:tcW w:w="844" w:type="dxa"/>
            <w:vAlign w:val="center"/>
          </w:tcPr>
          <w:p>
            <w:pPr>
              <w:pStyle w:val="0"/>
              <w:jc w:val="center"/>
            </w:pPr>
            <w:r>
              <w:rPr>
                <w:sz w:val="20"/>
              </w:rPr>
              <w:t xml:space="preserve">7034</w:t>
            </w:r>
          </w:p>
        </w:tc>
        <w:tc>
          <w:tcPr>
            <w:tcW w:w="1144" w:type="dxa"/>
            <w:vAlign w:val="center"/>
          </w:tcPr>
          <w:p>
            <w:pPr>
              <w:pStyle w:val="0"/>
              <w:jc w:val="center"/>
            </w:pPr>
            <w:r>
              <w:rPr>
                <w:sz w:val="20"/>
              </w:rPr>
              <w:t xml:space="preserve">7046</w:t>
            </w:r>
          </w:p>
        </w:tc>
        <w:tc>
          <w:tcPr>
            <w:tcW w:w="1024" w:type="dxa"/>
            <w:vAlign w:val="center"/>
          </w:tcPr>
          <w:p>
            <w:pPr>
              <w:pStyle w:val="0"/>
              <w:jc w:val="center"/>
            </w:pPr>
            <w:r>
              <w:rPr>
                <w:sz w:val="20"/>
              </w:rPr>
              <w:t xml:space="preserve">5718,6</w:t>
            </w:r>
          </w:p>
        </w:tc>
        <w:tc>
          <w:tcPr>
            <w:tcW w:w="1024" w:type="dxa"/>
            <w:vAlign w:val="center"/>
          </w:tcPr>
          <w:p>
            <w:pPr>
              <w:pStyle w:val="0"/>
              <w:jc w:val="center"/>
            </w:pPr>
            <w:r>
              <w:rPr>
                <w:sz w:val="20"/>
              </w:rPr>
              <w:t xml:space="preserve">5735,5</w:t>
            </w:r>
          </w:p>
        </w:tc>
        <w:tc>
          <w:tcPr>
            <w:tcW w:w="1264" w:type="dxa"/>
            <w:vAlign w:val="center"/>
          </w:tcPr>
          <w:p>
            <w:pPr>
              <w:pStyle w:val="0"/>
              <w:jc w:val="center"/>
            </w:pPr>
            <w:r>
              <w:rPr>
                <w:sz w:val="20"/>
              </w:rPr>
              <w:t xml:space="preserve">48230,1</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8378</w:t>
            </w:r>
          </w:p>
        </w:tc>
        <w:tc>
          <w:tcPr>
            <w:tcW w:w="844" w:type="dxa"/>
            <w:vAlign w:val="center"/>
          </w:tcPr>
          <w:p>
            <w:pPr>
              <w:pStyle w:val="0"/>
              <w:jc w:val="center"/>
            </w:pPr>
            <w:r>
              <w:rPr>
                <w:sz w:val="20"/>
              </w:rPr>
              <w:t xml:space="preserve">7309</w:t>
            </w:r>
          </w:p>
        </w:tc>
        <w:tc>
          <w:tcPr>
            <w:tcW w:w="1144" w:type="dxa"/>
            <w:vAlign w:val="center"/>
          </w:tcPr>
          <w:p>
            <w:pPr>
              <w:pStyle w:val="0"/>
              <w:jc w:val="center"/>
            </w:pPr>
            <w:r>
              <w:rPr>
                <w:sz w:val="20"/>
              </w:rPr>
              <w:t xml:space="preserve">7009,00</w:t>
            </w:r>
          </w:p>
        </w:tc>
        <w:tc>
          <w:tcPr>
            <w:tcW w:w="844" w:type="dxa"/>
            <w:vAlign w:val="center"/>
          </w:tcPr>
          <w:p>
            <w:pPr>
              <w:pStyle w:val="0"/>
              <w:jc w:val="center"/>
            </w:pPr>
            <w:r>
              <w:rPr>
                <w:sz w:val="20"/>
              </w:rPr>
              <w:t xml:space="preserve">7034</w:t>
            </w:r>
          </w:p>
        </w:tc>
        <w:tc>
          <w:tcPr>
            <w:tcW w:w="1144" w:type="dxa"/>
            <w:vAlign w:val="center"/>
          </w:tcPr>
          <w:p>
            <w:pPr>
              <w:pStyle w:val="0"/>
              <w:jc w:val="center"/>
            </w:pPr>
            <w:r>
              <w:rPr>
                <w:sz w:val="20"/>
              </w:rPr>
              <w:t xml:space="preserve">7046</w:t>
            </w:r>
          </w:p>
        </w:tc>
        <w:tc>
          <w:tcPr>
            <w:tcW w:w="1024" w:type="dxa"/>
            <w:vAlign w:val="center"/>
          </w:tcPr>
          <w:p>
            <w:pPr>
              <w:pStyle w:val="0"/>
              <w:jc w:val="center"/>
            </w:pPr>
            <w:r>
              <w:rPr>
                <w:sz w:val="20"/>
              </w:rPr>
              <w:t xml:space="preserve">5718,6</w:t>
            </w:r>
          </w:p>
        </w:tc>
        <w:tc>
          <w:tcPr>
            <w:tcW w:w="1024" w:type="dxa"/>
            <w:vAlign w:val="center"/>
          </w:tcPr>
          <w:p>
            <w:pPr>
              <w:pStyle w:val="0"/>
              <w:jc w:val="center"/>
            </w:pPr>
            <w:r>
              <w:rPr>
                <w:sz w:val="20"/>
              </w:rPr>
              <w:t xml:space="preserve">5735,5</w:t>
            </w:r>
          </w:p>
        </w:tc>
        <w:tc>
          <w:tcPr>
            <w:tcW w:w="1264" w:type="dxa"/>
            <w:vAlign w:val="center"/>
          </w:tcPr>
          <w:p>
            <w:pPr>
              <w:pStyle w:val="0"/>
              <w:jc w:val="center"/>
            </w:pPr>
            <w:r>
              <w:rPr>
                <w:sz w:val="20"/>
              </w:rPr>
              <w:t xml:space="preserve">48230,1</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2.2</w:t>
            </w:r>
          </w:p>
        </w:tc>
        <w:tc>
          <w:tcPr>
            <w:tcW w:w="2314" w:type="dxa"/>
            <w:vAlign w:val="center"/>
            <w:vMerge w:val="restart"/>
          </w:tcPr>
          <w:p>
            <w:pPr>
              <w:pStyle w:val="0"/>
              <w:jc w:val="center"/>
            </w:pPr>
            <w:r>
              <w:rPr>
                <w:sz w:val="20"/>
              </w:rPr>
              <w:t xml:space="preserve">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31199</w:t>
            </w:r>
          </w:p>
        </w:tc>
        <w:tc>
          <w:tcPr>
            <w:tcW w:w="844" w:type="dxa"/>
            <w:vAlign w:val="center"/>
          </w:tcPr>
          <w:p>
            <w:pPr>
              <w:pStyle w:val="0"/>
              <w:jc w:val="center"/>
            </w:pPr>
            <w:r>
              <w:rPr>
                <w:sz w:val="20"/>
              </w:rPr>
              <w:t xml:space="preserve">46036</w:t>
            </w:r>
          </w:p>
        </w:tc>
        <w:tc>
          <w:tcPr>
            <w:tcW w:w="1144" w:type="dxa"/>
            <w:vAlign w:val="center"/>
          </w:tcPr>
          <w:p>
            <w:pPr>
              <w:pStyle w:val="0"/>
              <w:jc w:val="center"/>
            </w:pPr>
            <w:r>
              <w:rPr>
                <w:sz w:val="20"/>
              </w:rPr>
              <w:t xml:space="preserve">35007,74</w:t>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13835</w:t>
            </w:r>
          </w:p>
        </w:tc>
        <w:tc>
          <w:tcPr>
            <w:tcW w:w="1024" w:type="dxa"/>
            <w:vAlign w:val="center"/>
          </w:tcPr>
          <w:p>
            <w:pPr>
              <w:pStyle w:val="0"/>
              <w:jc w:val="center"/>
            </w:pPr>
            <w:r>
              <w:rPr>
                <w:sz w:val="20"/>
              </w:rPr>
              <w:t xml:space="preserve">19565,1</w:t>
            </w:r>
          </w:p>
        </w:tc>
        <w:tc>
          <w:tcPr>
            <w:tcW w:w="1024" w:type="dxa"/>
            <w:vAlign w:val="center"/>
          </w:tcPr>
          <w:p>
            <w:pPr>
              <w:pStyle w:val="0"/>
              <w:jc w:val="center"/>
            </w:pPr>
            <w:r>
              <w:rPr>
                <w:sz w:val="20"/>
              </w:rPr>
              <w:t xml:space="preserve">20443,5</w:t>
            </w:r>
          </w:p>
        </w:tc>
        <w:tc>
          <w:tcPr>
            <w:tcW w:w="1264" w:type="dxa"/>
            <w:vAlign w:val="center"/>
          </w:tcPr>
          <w:p>
            <w:pPr>
              <w:pStyle w:val="0"/>
              <w:jc w:val="center"/>
            </w:pPr>
            <w:r>
              <w:rPr>
                <w:sz w:val="20"/>
              </w:rPr>
              <w:t xml:space="preserve">166086,34</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16058</w:t>
            </w:r>
          </w:p>
        </w:tc>
        <w:tc>
          <w:tcPr>
            <w:tcW w:w="844" w:type="dxa"/>
            <w:vAlign w:val="center"/>
          </w:tcPr>
          <w:p>
            <w:pPr>
              <w:pStyle w:val="0"/>
              <w:jc w:val="center"/>
            </w:pPr>
            <w:r>
              <w:rPr>
                <w:sz w:val="20"/>
              </w:rPr>
              <w:t xml:space="preserve">22916</w:t>
            </w:r>
          </w:p>
        </w:tc>
        <w:tc>
          <w:tcPr>
            <w:tcW w:w="1144" w:type="dxa"/>
            <w:vAlign w:val="center"/>
          </w:tcPr>
          <w:p>
            <w:pPr>
              <w:pStyle w:val="0"/>
              <w:jc w:val="center"/>
            </w:pPr>
            <w:r>
              <w:rPr>
                <w:sz w:val="20"/>
              </w:rPr>
              <w:t xml:space="preserve">26820,00</w:t>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10654</w:t>
            </w:r>
          </w:p>
        </w:tc>
        <w:tc>
          <w:tcPr>
            <w:tcW w:w="1024" w:type="dxa"/>
            <w:vAlign w:val="center"/>
          </w:tcPr>
          <w:p>
            <w:pPr>
              <w:pStyle w:val="0"/>
              <w:jc w:val="center"/>
            </w:pPr>
            <w:r>
              <w:rPr>
                <w:sz w:val="20"/>
              </w:rPr>
              <w:t xml:space="preserve">15015,5</w:t>
            </w:r>
          </w:p>
        </w:tc>
        <w:tc>
          <w:tcPr>
            <w:tcW w:w="1024" w:type="dxa"/>
            <w:vAlign w:val="center"/>
          </w:tcPr>
          <w:p>
            <w:pPr>
              <w:pStyle w:val="0"/>
              <w:jc w:val="center"/>
            </w:pPr>
            <w:r>
              <w:rPr>
                <w:sz w:val="20"/>
              </w:rPr>
              <w:t xml:space="preserve">15342,7</w:t>
            </w:r>
          </w:p>
        </w:tc>
        <w:tc>
          <w:tcPr>
            <w:tcW w:w="1264" w:type="dxa"/>
            <w:vAlign w:val="center"/>
          </w:tcPr>
          <w:p>
            <w:pPr>
              <w:pStyle w:val="0"/>
              <w:jc w:val="center"/>
            </w:pPr>
            <w:r>
              <w:rPr>
                <w:sz w:val="20"/>
              </w:rPr>
              <w:t xml:space="preserve">106806,2</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900</w:t>
            </w:r>
          </w:p>
        </w:tc>
        <w:tc>
          <w:tcPr>
            <w:tcW w:w="844" w:type="dxa"/>
            <w:vAlign w:val="center"/>
          </w:tcPr>
          <w:p>
            <w:pPr>
              <w:pStyle w:val="0"/>
              <w:jc w:val="center"/>
            </w:pPr>
            <w:r>
              <w:rPr>
                <w:sz w:val="20"/>
              </w:rPr>
              <w:t xml:space="preserve">900</w:t>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2832</w:t>
            </w:r>
          </w:p>
        </w:tc>
        <w:tc>
          <w:tcPr>
            <w:tcW w:w="1024" w:type="dxa"/>
            <w:vAlign w:val="center"/>
          </w:tcPr>
          <w:p>
            <w:pPr>
              <w:pStyle w:val="0"/>
              <w:jc w:val="center"/>
            </w:pPr>
            <w:r>
              <w:rPr>
                <w:sz w:val="20"/>
              </w:rPr>
              <w:t xml:space="preserve">3991,6</w:t>
            </w:r>
          </w:p>
        </w:tc>
        <w:tc>
          <w:tcPr>
            <w:tcW w:w="1024" w:type="dxa"/>
            <w:vAlign w:val="center"/>
          </w:tcPr>
          <w:p>
            <w:pPr>
              <w:pStyle w:val="0"/>
              <w:jc w:val="center"/>
            </w:pPr>
            <w:r>
              <w:rPr>
                <w:sz w:val="20"/>
              </w:rPr>
              <w:t xml:space="preserve">4078,6</w:t>
            </w:r>
          </w:p>
        </w:tc>
        <w:tc>
          <w:tcPr>
            <w:tcW w:w="1264" w:type="dxa"/>
            <w:vAlign w:val="center"/>
          </w:tcPr>
          <w:p>
            <w:pPr>
              <w:pStyle w:val="0"/>
              <w:jc w:val="center"/>
            </w:pPr>
            <w:r>
              <w:rPr>
                <w:sz w:val="20"/>
              </w:rPr>
              <w:t xml:space="preserve">12702,2</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t xml:space="preserve">14241</w:t>
            </w:r>
          </w:p>
        </w:tc>
        <w:tc>
          <w:tcPr>
            <w:tcW w:w="844" w:type="dxa"/>
            <w:vAlign w:val="center"/>
          </w:tcPr>
          <w:p>
            <w:pPr>
              <w:pStyle w:val="0"/>
              <w:jc w:val="center"/>
            </w:pPr>
            <w:r>
              <w:rPr>
                <w:sz w:val="20"/>
              </w:rPr>
              <w:t xml:space="preserve">22220</w:t>
            </w:r>
          </w:p>
        </w:tc>
        <w:tc>
          <w:tcPr>
            <w:tcW w:w="1144" w:type="dxa"/>
            <w:vAlign w:val="center"/>
          </w:tcPr>
          <w:p>
            <w:pPr>
              <w:pStyle w:val="0"/>
              <w:jc w:val="center"/>
            </w:pPr>
            <w:r>
              <w:rPr>
                <w:sz w:val="20"/>
              </w:rPr>
              <w:t xml:space="preserve">8187,74</w:t>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349</w:t>
            </w:r>
          </w:p>
        </w:tc>
        <w:tc>
          <w:tcPr>
            <w:tcW w:w="1024" w:type="dxa"/>
            <w:vAlign w:val="center"/>
          </w:tcPr>
          <w:p>
            <w:pPr>
              <w:pStyle w:val="0"/>
              <w:jc w:val="center"/>
            </w:pPr>
            <w:r>
              <w:rPr>
                <w:sz w:val="20"/>
              </w:rPr>
              <w:t xml:space="preserve">558,0</w:t>
            </w:r>
          </w:p>
        </w:tc>
        <w:tc>
          <w:tcPr>
            <w:tcW w:w="1024" w:type="dxa"/>
            <w:vAlign w:val="center"/>
          </w:tcPr>
          <w:p>
            <w:pPr>
              <w:pStyle w:val="0"/>
              <w:jc w:val="center"/>
            </w:pPr>
            <w:r>
              <w:rPr>
                <w:sz w:val="20"/>
              </w:rPr>
              <w:t xml:space="preserve">1022,2</w:t>
            </w:r>
          </w:p>
        </w:tc>
        <w:tc>
          <w:tcPr>
            <w:tcW w:w="1264" w:type="dxa"/>
            <w:vAlign w:val="center"/>
          </w:tcPr>
          <w:p>
            <w:pPr>
              <w:pStyle w:val="0"/>
              <w:jc w:val="center"/>
            </w:pPr>
            <w:r>
              <w:rPr>
                <w:sz w:val="20"/>
              </w:rPr>
              <w:t xml:space="preserve">46577,94</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3</w:t>
            </w:r>
          </w:p>
        </w:tc>
        <w:tc>
          <w:tcPr>
            <w:tcW w:w="2314" w:type="dxa"/>
            <w:vAlign w:val="center"/>
            <w:vMerge w:val="restart"/>
          </w:tcPr>
          <w:p>
            <w:pPr>
              <w:pStyle w:val="0"/>
              <w:jc w:val="center"/>
            </w:pPr>
            <w:r>
              <w:rPr>
                <w:sz w:val="20"/>
              </w:rPr>
              <w:t xml:space="preserve">Охрана окружающей среды и рациональное природопользование</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6957</w:t>
            </w:r>
          </w:p>
        </w:tc>
        <w:tc>
          <w:tcPr>
            <w:tcW w:w="844" w:type="dxa"/>
            <w:vAlign w:val="center"/>
          </w:tcPr>
          <w:p>
            <w:pPr>
              <w:pStyle w:val="0"/>
              <w:jc w:val="center"/>
            </w:pPr>
            <w:r>
              <w:rPr>
                <w:sz w:val="20"/>
              </w:rPr>
              <w:t xml:space="preserve">5842</w:t>
            </w:r>
          </w:p>
        </w:tc>
        <w:tc>
          <w:tcPr>
            <w:tcW w:w="1144" w:type="dxa"/>
            <w:vAlign w:val="center"/>
          </w:tcPr>
          <w:p>
            <w:pPr>
              <w:pStyle w:val="0"/>
              <w:jc w:val="center"/>
            </w:pPr>
            <w:r>
              <w:rPr>
                <w:sz w:val="20"/>
              </w:rPr>
              <w:t xml:space="preserve">5118,00</w:t>
            </w:r>
          </w:p>
        </w:tc>
        <w:tc>
          <w:tcPr>
            <w:tcW w:w="844" w:type="dxa"/>
            <w:vAlign w:val="center"/>
          </w:tcPr>
          <w:p>
            <w:pPr>
              <w:pStyle w:val="0"/>
              <w:jc w:val="center"/>
            </w:pPr>
            <w:r>
              <w:rPr>
                <w:sz w:val="20"/>
              </w:rPr>
              <w:t xml:space="preserve">4936</w:t>
            </w:r>
          </w:p>
        </w:tc>
        <w:tc>
          <w:tcPr>
            <w:tcW w:w="1144" w:type="dxa"/>
            <w:vAlign w:val="center"/>
          </w:tcPr>
          <w:p>
            <w:pPr>
              <w:pStyle w:val="0"/>
              <w:jc w:val="center"/>
            </w:pPr>
            <w:r>
              <w:rPr>
                <w:sz w:val="20"/>
              </w:rPr>
              <w:t xml:space="preserve">23700,60</w:t>
            </w:r>
          </w:p>
        </w:tc>
        <w:tc>
          <w:tcPr>
            <w:tcW w:w="1024" w:type="dxa"/>
            <w:vAlign w:val="center"/>
          </w:tcPr>
          <w:p>
            <w:pPr>
              <w:pStyle w:val="0"/>
              <w:jc w:val="center"/>
            </w:pPr>
            <w:r>
              <w:rPr>
                <w:sz w:val="20"/>
              </w:rPr>
              <w:t xml:space="preserve">15347,0</w:t>
            </w:r>
          </w:p>
        </w:tc>
        <w:tc>
          <w:tcPr>
            <w:tcW w:w="1024" w:type="dxa"/>
            <w:vAlign w:val="center"/>
          </w:tcPr>
          <w:p>
            <w:pPr>
              <w:pStyle w:val="0"/>
              <w:jc w:val="center"/>
            </w:pPr>
            <w:r>
              <w:rPr>
                <w:sz w:val="20"/>
              </w:rPr>
              <w:t xml:space="preserve">5536,1</w:t>
            </w:r>
          </w:p>
        </w:tc>
        <w:tc>
          <w:tcPr>
            <w:tcW w:w="1264" w:type="dxa"/>
            <w:vAlign w:val="center"/>
          </w:tcPr>
          <w:p>
            <w:pPr>
              <w:pStyle w:val="0"/>
              <w:jc w:val="center"/>
            </w:pPr>
            <w:r>
              <w:rPr>
                <w:sz w:val="20"/>
              </w:rPr>
              <w:t xml:space="preserve">67436,7</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4994</w:t>
            </w:r>
          </w:p>
        </w:tc>
        <w:tc>
          <w:tcPr>
            <w:tcW w:w="844" w:type="dxa"/>
            <w:vAlign w:val="center"/>
          </w:tcPr>
          <w:p>
            <w:pPr>
              <w:pStyle w:val="0"/>
              <w:jc w:val="center"/>
            </w:pPr>
            <w:r>
              <w:rPr>
                <w:sz w:val="20"/>
              </w:rPr>
              <w:t xml:space="preserve">4298</w:t>
            </w:r>
          </w:p>
        </w:tc>
        <w:tc>
          <w:tcPr>
            <w:tcW w:w="1144" w:type="dxa"/>
            <w:vAlign w:val="center"/>
          </w:tcPr>
          <w:p>
            <w:pPr>
              <w:pStyle w:val="0"/>
              <w:jc w:val="center"/>
            </w:pPr>
            <w:r>
              <w:rPr>
                <w:sz w:val="20"/>
              </w:rPr>
              <w:t xml:space="preserve">3833,00</w:t>
            </w:r>
          </w:p>
        </w:tc>
        <w:tc>
          <w:tcPr>
            <w:tcW w:w="844" w:type="dxa"/>
            <w:vAlign w:val="center"/>
          </w:tcPr>
          <w:p>
            <w:pPr>
              <w:pStyle w:val="0"/>
              <w:jc w:val="center"/>
            </w:pPr>
            <w:r>
              <w:rPr>
                <w:sz w:val="20"/>
              </w:rPr>
              <w:t xml:space="preserve">3392</w:t>
            </w:r>
          </w:p>
        </w:tc>
        <w:tc>
          <w:tcPr>
            <w:tcW w:w="1144" w:type="dxa"/>
            <w:vAlign w:val="center"/>
          </w:tcPr>
          <w:p>
            <w:pPr>
              <w:pStyle w:val="0"/>
              <w:jc w:val="center"/>
            </w:pPr>
            <w:r>
              <w:rPr>
                <w:sz w:val="20"/>
              </w:rPr>
              <w:t xml:space="preserve">21091</w:t>
            </w:r>
          </w:p>
        </w:tc>
        <w:tc>
          <w:tcPr>
            <w:tcW w:w="1024" w:type="dxa"/>
            <w:vAlign w:val="center"/>
          </w:tcPr>
          <w:p>
            <w:pPr>
              <w:pStyle w:val="0"/>
              <w:jc w:val="center"/>
            </w:pPr>
            <w:r>
              <w:rPr>
                <w:sz w:val="20"/>
              </w:rPr>
              <w:t xml:space="preserve">13227,0</w:t>
            </w:r>
          </w:p>
        </w:tc>
        <w:tc>
          <w:tcPr>
            <w:tcW w:w="1024" w:type="dxa"/>
            <w:vAlign w:val="center"/>
          </w:tcPr>
          <w:p>
            <w:pPr>
              <w:pStyle w:val="0"/>
              <w:jc w:val="center"/>
            </w:pPr>
            <w:r>
              <w:rPr>
                <w:sz w:val="20"/>
              </w:rPr>
              <w:t xml:space="preserve">3988,1</w:t>
            </w:r>
          </w:p>
        </w:tc>
        <w:tc>
          <w:tcPr>
            <w:tcW w:w="1264" w:type="dxa"/>
            <w:vAlign w:val="center"/>
          </w:tcPr>
          <w:p>
            <w:pPr>
              <w:pStyle w:val="0"/>
              <w:jc w:val="center"/>
            </w:pPr>
            <w:r>
              <w:rPr>
                <w:sz w:val="20"/>
              </w:rPr>
              <w:t xml:space="preserve">54823,1</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t xml:space="preserve">1963</w:t>
            </w:r>
          </w:p>
        </w:tc>
        <w:tc>
          <w:tcPr>
            <w:tcW w:w="844" w:type="dxa"/>
            <w:vAlign w:val="center"/>
          </w:tcPr>
          <w:p>
            <w:pPr>
              <w:pStyle w:val="0"/>
              <w:jc w:val="center"/>
            </w:pPr>
            <w:r>
              <w:rPr>
                <w:sz w:val="20"/>
              </w:rPr>
              <w:t xml:space="preserve">1544</w:t>
            </w:r>
          </w:p>
        </w:tc>
        <w:tc>
          <w:tcPr>
            <w:tcW w:w="1144" w:type="dxa"/>
            <w:vAlign w:val="center"/>
          </w:tcPr>
          <w:p>
            <w:pPr>
              <w:pStyle w:val="0"/>
              <w:jc w:val="center"/>
            </w:pPr>
            <w:r>
              <w:rPr>
                <w:sz w:val="20"/>
              </w:rPr>
              <w:t xml:space="preserve">1285,00</w:t>
            </w:r>
          </w:p>
        </w:tc>
        <w:tc>
          <w:tcPr>
            <w:tcW w:w="844" w:type="dxa"/>
            <w:vAlign w:val="center"/>
          </w:tcPr>
          <w:p>
            <w:pPr>
              <w:pStyle w:val="0"/>
              <w:jc w:val="center"/>
            </w:pPr>
            <w:r>
              <w:rPr>
                <w:sz w:val="20"/>
              </w:rPr>
              <w:t xml:space="preserve">1544</w:t>
            </w:r>
          </w:p>
        </w:tc>
        <w:tc>
          <w:tcPr>
            <w:tcW w:w="1144" w:type="dxa"/>
            <w:vAlign w:val="center"/>
          </w:tcPr>
          <w:p>
            <w:pPr>
              <w:pStyle w:val="0"/>
              <w:jc w:val="center"/>
            </w:pPr>
            <w:r>
              <w:rPr>
                <w:sz w:val="20"/>
              </w:rPr>
              <w:t xml:space="preserve">2609,60</w:t>
            </w:r>
          </w:p>
        </w:tc>
        <w:tc>
          <w:tcPr>
            <w:tcW w:w="1024" w:type="dxa"/>
            <w:vAlign w:val="center"/>
          </w:tcPr>
          <w:p>
            <w:pPr>
              <w:pStyle w:val="0"/>
              <w:jc w:val="center"/>
            </w:pPr>
            <w:r>
              <w:rPr>
                <w:sz w:val="20"/>
              </w:rPr>
              <w:t xml:space="preserve">2120,0</w:t>
            </w:r>
          </w:p>
        </w:tc>
        <w:tc>
          <w:tcPr>
            <w:tcW w:w="1024" w:type="dxa"/>
            <w:vAlign w:val="center"/>
          </w:tcPr>
          <w:p>
            <w:pPr>
              <w:pStyle w:val="0"/>
              <w:jc w:val="center"/>
            </w:pPr>
            <w:r>
              <w:rPr>
                <w:sz w:val="20"/>
              </w:rPr>
              <w:t xml:space="preserve">1548,0</w:t>
            </w:r>
          </w:p>
        </w:tc>
        <w:tc>
          <w:tcPr>
            <w:tcW w:w="1264" w:type="dxa"/>
            <w:vAlign w:val="center"/>
          </w:tcPr>
          <w:p>
            <w:pPr>
              <w:pStyle w:val="0"/>
              <w:jc w:val="center"/>
            </w:pPr>
            <w:r>
              <w:rPr>
                <w:sz w:val="20"/>
              </w:rPr>
              <w:t xml:space="preserve">12613,6</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3.1</w:t>
            </w:r>
          </w:p>
        </w:tc>
        <w:tc>
          <w:tcPr>
            <w:tcW w:w="2314" w:type="dxa"/>
            <w:vAlign w:val="center"/>
            <w:vMerge w:val="restart"/>
          </w:tcPr>
          <w:p>
            <w:pPr>
              <w:pStyle w:val="0"/>
              <w:jc w:val="center"/>
            </w:pPr>
            <w:r>
              <w:rPr>
                <w:sz w:val="20"/>
              </w:rPr>
              <w:t xml:space="preserve">Охрана окружающей среды и рациональное природопользование</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1057</w:t>
            </w:r>
          </w:p>
        </w:tc>
        <w:tc>
          <w:tcPr>
            <w:tcW w:w="844" w:type="dxa"/>
            <w:vAlign w:val="center"/>
          </w:tcPr>
          <w:p>
            <w:pPr>
              <w:pStyle w:val="0"/>
              <w:jc w:val="center"/>
            </w:pPr>
            <w:r>
              <w:rPr>
                <w:sz w:val="20"/>
              </w:rPr>
              <w:t xml:space="preserve">1228</w:t>
            </w:r>
          </w:p>
        </w:tc>
        <w:tc>
          <w:tcPr>
            <w:tcW w:w="1144" w:type="dxa"/>
            <w:vAlign w:val="center"/>
          </w:tcPr>
          <w:p>
            <w:pPr>
              <w:pStyle w:val="0"/>
              <w:jc w:val="center"/>
            </w:pPr>
            <w:r>
              <w:rPr>
                <w:sz w:val="20"/>
              </w:rPr>
              <w:t xml:space="preserve">1141,00</w:t>
            </w:r>
          </w:p>
        </w:tc>
        <w:tc>
          <w:tcPr>
            <w:tcW w:w="844" w:type="dxa"/>
            <w:vAlign w:val="center"/>
          </w:tcPr>
          <w:p>
            <w:pPr>
              <w:pStyle w:val="0"/>
              <w:jc w:val="center"/>
            </w:pPr>
            <w:r>
              <w:rPr>
                <w:sz w:val="20"/>
              </w:rPr>
              <w:t xml:space="preserve">670</w:t>
            </w:r>
          </w:p>
        </w:tc>
        <w:tc>
          <w:tcPr>
            <w:tcW w:w="1144" w:type="dxa"/>
            <w:vAlign w:val="center"/>
          </w:tcPr>
          <w:p>
            <w:pPr>
              <w:pStyle w:val="0"/>
              <w:jc w:val="center"/>
            </w:pPr>
            <w:r>
              <w:rPr>
                <w:sz w:val="20"/>
              </w:rPr>
              <w:t xml:space="preserve">2325</w:t>
            </w:r>
          </w:p>
        </w:tc>
        <w:tc>
          <w:tcPr>
            <w:tcW w:w="1024" w:type="dxa"/>
            <w:vAlign w:val="center"/>
          </w:tcPr>
          <w:p>
            <w:pPr>
              <w:pStyle w:val="0"/>
              <w:jc w:val="center"/>
            </w:pPr>
            <w:r>
              <w:rPr>
                <w:sz w:val="20"/>
              </w:rPr>
              <w:t xml:space="preserve">2325,0</w:t>
            </w:r>
          </w:p>
        </w:tc>
        <w:tc>
          <w:tcPr>
            <w:tcW w:w="1024" w:type="dxa"/>
            <w:vAlign w:val="center"/>
          </w:tcPr>
          <w:p>
            <w:pPr>
              <w:pStyle w:val="0"/>
              <w:jc w:val="center"/>
            </w:pPr>
            <w:r>
              <w:rPr>
                <w:sz w:val="20"/>
              </w:rPr>
              <w:t xml:space="preserve">378,1</w:t>
            </w:r>
          </w:p>
        </w:tc>
        <w:tc>
          <w:tcPr>
            <w:tcW w:w="1264" w:type="dxa"/>
            <w:vAlign w:val="center"/>
          </w:tcPr>
          <w:p>
            <w:pPr>
              <w:pStyle w:val="0"/>
              <w:jc w:val="center"/>
            </w:pPr>
            <w:r>
              <w:rPr>
                <w:sz w:val="20"/>
              </w:rPr>
              <w:t xml:space="preserve">9124,1</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1057</w:t>
            </w:r>
          </w:p>
        </w:tc>
        <w:tc>
          <w:tcPr>
            <w:tcW w:w="844" w:type="dxa"/>
            <w:vAlign w:val="center"/>
          </w:tcPr>
          <w:p>
            <w:pPr>
              <w:pStyle w:val="0"/>
              <w:jc w:val="center"/>
            </w:pPr>
            <w:r>
              <w:rPr>
                <w:sz w:val="20"/>
              </w:rPr>
              <w:t xml:space="preserve">1228</w:t>
            </w:r>
          </w:p>
        </w:tc>
        <w:tc>
          <w:tcPr>
            <w:tcW w:w="1144" w:type="dxa"/>
            <w:vAlign w:val="center"/>
          </w:tcPr>
          <w:p>
            <w:pPr>
              <w:pStyle w:val="0"/>
              <w:jc w:val="center"/>
            </w:pPr>
            <w:r>
              <w:rPr>
                <w:sz w:val="20"/>
              </w:rPr>
              <w:t xml:space="preserve">1141,00</w:t>
            </w:r>
          </w:p>
        </w:tc>
        <w:tc>
          <w:tcPr>
            <w:tcW w:w="844" w:type="dxa"/>
            <w:vAlign w:val="center"/>
          </w:tcPr>
          <w:p>
            <w:pPr>
              <w:pStyle w:val="0"/>
              <w:jc w:val="center"/>
            </w:pPr>
            <w:r>
              <w:rPr>
                <w:sz w:val="20"/>
              </w:rPr>
              <w:t xml:space="preserve">670</w:t>
            </w:r>
          </w:p>
        </w:tc>
        <w:tc>
          <w:tcPr>
            <w:tcW w:w="1144" w:type="dxa"/>
            <w:vAlign w:val="center"/>
          </w:tcPr>
          <w:p>
            <w:pPr>
              <w:pStyle w:val="0"/>
              <w:jc w:val="center"/>
            </w:pPr>
            <w:r>
              <w:rPr>
                <w:sz w:val="20"/>
              </w:rPr>
              <w:t xml:space="preserve">2325</w:t>
            </w:r>
          </w:p>
        </w:tc>
        <w:tc>
          <w:tcPr>
            <w:tcW w:w="1024" w:type="dxa"/>
            <w:vAlign w:val="center"/>
          </w:tcPr>
          <w:p>
            <w:pPr>
              <w:pStyle w:val="0"/>
              <w:jc w:val="center"/>
            </w:pPr>
            <w:r>
              <w:rPr>
                <w:sz w:val="20"/>
              </w:rPr>
              <w:t xml:space="preserve">2325,0</w:t>
            </w:r>
          </w:p>
        </w:tc>
        <w:tc>
          <w:tcPr>
            <w:tcW w:w="1024" w:type="dxa"/>
            <w:vAlign w:val="center"/>
          </w:tcPr>
          <w:p>
            <w:pPr>
              <w:pStyle w:val="0"/>
              <w:jc w:val="center"/>
            </w:pPr>
            <w:r>
              <w:rPr>
                <w:sz w:val="20"/>
              </w:rPr>
              <w:t xml:space="preserve">378,1</w:t>
            </w:r>
          </w:p>
        </w:tc>
        <w:tc>
          <w:tcPr>
            <w:tcW w:w="1264" w:type="dxa"/>
            <w:vAlign w:val="center"/>
          </w:tcPr>
          <w:p>
            <w:pPr>
              <w:pStyle w:val="0"/>
              <w:jc w:val="center"/>
            </w:pPr>
            <w:r>
              <w:rPr>
                <w:sz w:val="20"/>
              </w:rPr>
              <w:t xml:space="preserve">9124,1</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3.2</w:t>
            </w:r>
          </w:p>
        </w:tc>
        <w:tc>
          <w:tcPr>
            <w:tcW w:w="2314" w:type="dxa"/>
            <w:vAlign w:val="center"/>
            <w:vMerge w:val="restart"/>
          </w:tcPr>
          <w:p>
            <w:pPr>
              <w:pStyle w:val="0"/>
              <w:jc w:val="center"/>
            </w:pPr>
            <w:r>
              <w:rPr>
                <w:sz w:val="20"/>
              </w:rPr>
              <w:t xml:space="preserve">Субсидии на разработку научно обоснованных проектов бассейнового природопользования</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966</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966,0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483</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483,0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t xml:space="preserve">483</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483,0</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3.3</w:t>
            </w:r>
          </w:p>
        </w:tc>
        <w:tc>
          <w:tcPr>
            <w:tcW w:w="2314" w:type="dxa"/>
            <w:vAlign w:val="center"/>
            <w:vMerge w:val="restart"/>
          </w:tcPr>
          <w:p>
            <w:pPr>
              <w:pStyle w:val="0"/>
              <w:jc w:val="center"/>
            </w:pPr>
            <w:r>
              <w:rPr>
                <w:sz w:val="20"/>
              </w:rPr>
              <w:t xml:space="preserve">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4934</w:t>
            </w:r>
          </w:p>
        </w:tc>
        <w:tc>
          <w:tcPr>
            <w:tcW w:w="844" w:type="dxa"/>
            <w:vAlign w:val="center"/>
          </w:tcPr>
          <w:p>
            <w:pPr>
              <w:pStyle w:val="0"/>
              <w:jc w:val="center"/>
            </w:pPr>
            <w:r>
              <w:rPr>
                <w:sz w:val="20"/>
              </w:rPr>
              <w:t xml:space="preserve">4614</w:t>
            </w:r>
          </w:p>
        </w:tc>
        <w:tc>
          <w:tcPr>
            <w:tcW w:w="1144" w:type="dxa"/>
            <w:vAlign w:val="center"/>
          </w:tcPr>
          <w:p>
            <w:pPr>
              <w:pStyle w:val="0"/>
              <w:jc w:val="center"/>
            </w:pPr>
            <w:r>
              <w:rPr>
                <w:sz w:val="20"/>
              </w:rPr>
              <w:t xml:space="preserve">3977,00</w:t>
            </w:r>
          </w:p>
        </w:tc>
        <w:tc>
          <w:tcPr>
            <w:tcW w:w="844" w:type="dxa"/>
            <w:vAlign w:val="center"/>
          </w:tcPr>
          <w:p>
            <w:pPr>
              <w:pStyle w:val="0"/>
              <w:jc w:val="center"/>
            </w:pPr>
            <w:r>
              <w:rPr>
                <w:sz w:val="20"/>
              </w:rPr>
              <w:t xml:space="preserve">4266</w:t>
            </w:r>
          </w:p>
        </w:tc>
        <w:tc>
          <w:tcPr>
            <w:tcW w:w="1144" w:type="dxa"/>
            <w:vAlign w:val="center"/>
          </w:tcPr>
          <w:p>
            <w:pPr>
              <w:pStyle w:val="0"/>
              <w:jc w:val="center"/>
            </w:pPr>
            <w:r>
              <w:rPr>
                <w:sz w:val="20"/>
              </w:rPr>
              <w:t xml:space="preserve">2350</w:t>
            </w:r>
          </w:p>
        </w:tc>
        <w:tc>
          <w:tcPr>
            <w:tcW w:w="1024" w:type="dxa"/>
            <w:vAlign w:val="center"/>
          </w:tcPr>
          <w:p>
            <w:pPr>
              <w:pStyle w:val="0"/>
              <w:jc w:val="center"/>
            </w:pPr>
            <w:r>
              <w:rPr>
                <w:sz w:val="20"/>
              </w:rPr>
              <w:t xml:space="preserve">4090,0</w:t>
            </w:r>
          </w:p>
        </w:tc>
        <w:tc>
          <w:tcPr>
            <w:tcW w:w="1024" w:type="dxa"/>
            <w:vAlign w:val="center"/>
          </w:tcPr>
          <w:p>
            <w:pPr>
              <w:pStyle w:val="0"/>
              <w:jc w:val="center"/>
            </w:pPr>
            <w:r>
              <w:rPr>
                <w:sz w:val="20"/>
              </w:rPr>
              <w:t xml:space="preserve">5158,0</w:t>
            </w:r>
          </w:p>
        </w:tc>
        <w:tc>
          <w:tcPr>
            <w:tcW w:w="1264" w:type="dxa"/>
            <w:vAlign w:val="center"/>
          </w:tcPr>
          <w:p>
            <w:pPr>
              <w:pStyle w:val="0"/>
              <w:jc w:val="center"/>
            </w:pPr>
            <w:r>
              <w:rPr>
                <w:sz w:val="20"/>
              </w:rPr>
              <w:t xml:space="preserve">29389,0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3454</w:t>
            </w:r>
          </w:p>
        </w:tc>
        <w:tc>
          <w:tcPr>
            <w:tcW w:w="844" w:type="dxa"/>
            <w:vAlign w:val="center"/>
          </w:tcPr>
          <w:p>
            <w:pPr>
              <w:pStyle w:val="0"/>
              <w:jc w:val="center"/>
            </w:pPr>
            <w:r>
              <w:rPr>
                <w:sz w:val="20"/>
              </w:rPr>
              <w:t xml:space="preserve">3070</w:t>
            </w:r>
          </w:p>
        </w:tc>
        <w:tc>
          <w:tcPr>
            <w:tcW w:w="1144" w:type="dxa"/>
            <w:vAlign w:val="center"/>
          </w:tcPr>
          <w:p>
            <w:pPr>
              <w:pStyle w:val="0"/>
              <w:jc w:val="center"/>
            </w:pPr>
            <w:r>
              <w:rPr>
                <w:sz w:val="20"/>
              </w:rPr>
              <w:t xml:space="preserve">2692,00</w:t>
            </w:r>
          </w:p>
        </w:tc>
        <w:tc>
          <w:tcPr>
            <w:tcW w:w="844" w:type="dxa"/>
            <w:vAlign w:val="center"/>
          </w:tcPr>
          <w:p>
            <w:pPr>
              <w:pStyle w:val="0"/>
              <w:jc w:val="center"/>
            </w:pPr>
            <w:r>
              <w:rPr>
                <w:sz w:val="20"/>
              </w:rPr>
              <w:t xml:space="preserve">2722</w:t>
            </w:r>
          </w:p>
        </w:tc>
        <w:tc>
          <w:tcPr>
            <w:tcW w:w="1144" w:type="dxa"/>
            <w:vAlign w:val="center"/>
          </w:tcPr>
          <w:p>
            <w:pPr>
              <w:pStyle w:val="0"/>
              <w:jc w:val="center"/>
            </w:pPr>
            <w:r>
              <w:rPr>
                <w:sz w:val="20"/>
              </w:rPr>
              <w:t xml:space="preserve">1645</w:t>
            </w:r>
          </w:p>
        </w:tc>
        <w:tc>
          <w:tcPr>
            <w:tcW w:w="1024" w:type="dxa"/>
            <w:vAlign w:val="center"/>
          </w:tcPr>
          <w:p>
            <w:pPr>
              <w:pStyle w:val="0"/>
              <w:jc w:val="center"/>
            </w:pPr>
            <w:r>
              <w:rPr>
                <w:sz w:val="20"/>
              </w:rPr>
              <w:t xml:space="preserve">2863,0</w:t>
            </w:r>
          </w:p>
        </w:tc>
        <w:tc>
          <w:tcPr>
            <w:tcW w:w="1024" w:type="dxa"/>
            <w:vAlign w:val="center"/>
          </w:tcPr>
          <w:p>
            <w:pPr>
              <w:pStyle w:val="0"/>
              <w:jc w:val="center"/>
            </w:pPr>
            <w:r>
              <w:rPr>
                <w:sz w:val="20"/>
              </w:rPr>
              <w:t xml:space="preserve">3610,0</w:t>
            </w:r>
          </w:p>
        </w:tc>
        <w:tc>
          <w:tcPr>
            <w:tcW w:w="1264" w:type="dxa"/>
            <w:vAlign w:val="center"/>
          </w:tcPr>
          <w:p>
            <w:pPr>
              <w:pStyle w:val="0"/>
              <w:jc w:val="center"/>
            </w:pPr>
            <w:r>
              <w:rPr>
                <w:sz w:val="20"/>
              </w:rPr>
              <w:t xml:space="preserve">20056,0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t xml:space="preserve">1480</w:t>
            </w:r>
          </w:p>
        </w:tc>
        <w:tc>
          <w:tcPr>
            <w:tcW w:w="844" w:type="dxa"/>
            <w:vAlign w:val="center"/>
          </w:tcPr>
          <w:p>
            <w:pPr>
              <w:pStyle w:val="0"/>
              <w:jc w:val="center"/>
            </w:pPr>
            <w:r>
              <w:rPr>
                <w:sz w:val="20"/>
              </w:rPr>
              <w:t xml:space="preserve">1544</w:t>
            </w:r>
          </w:p>
        </w:tc>
        <w:tc>
          <w:tcPr>
            <w:tcW w:w="1144" w:type="dxa"/>
            <w:vAlign w:val="center"/>
          </w:tcPr>
          <w:p>
            <w:pPr>
              <w:pStyle w:val="0"/>
              <w:jc w:val="center"/>
            </w:pPr>
            <w:r>
              <w:rPr>
                <w:sz w:val="20"/>
              </w:rPr>
              <w:t xml:space="preserve">1285,00</w:t>
            </w:r>
          </w:p>
        </w:tc>
        <w:tc>
          <w:tcPr>
            <w:tcW w:w="844" w:type="dxa"/>
            <w:vAlign w:val="center"/>
          </w:tcPr>
          <w:p>
            <w:pPr>
              <w:pStyle w:val="0"/>
              <w:jc w:val="center"/>
            </w:pPr>
            <w:r>
              <w:rPr>
                <w:sz w:val="20"/>
              </w:rPr>
              <w:t xml:space="preserve">1544</w:t>
            </w:r>
          </w:p>
        </w:tc>
        <w:tc>
          <w:tcPr>
            <w:tcW w:w="1144" w:type="dxa"/>
            <w:vAlign w:val="center"/>
          </w:tcPr>
          <w:p>
            <w:pPr>
              <w:pStyle w:val="0"/>
              <w:jc w:val="center"/>
            </w:pPr>
            <w:r>
              <w:rPr>
                <w:sz w:val="20"/>
              </w:rPr>
              <w:t xml:space="preserve">705</w:t>
            </w:r>
          </w:p>
        </w:tc>
        <w:tc>
          <w:tcPr>
            <w:tcW w:w="1024" w:type="dxa"/>
            <w:vAlign w:val="center"/>
          </w:tcPr>
          <w:p>
            <w:pPr>
              <w:pStyle w:val="0"/>
              <w:jc w:val="center"/>
            </w:pPr>
            <w:r>
              <w:rPr>
                <w:sz w:val="20"/>
              </w:rPr>
              <w:t xml:space="preserve">1227,0</w:t>
            </w:r>
          </w:p>
        </w:tc>
        <w:tc>
          <w:tcPr>
            <w:tcW w:w="1024" w:type="dxa"/>
            <w:vAlign w:val="center"/>
          </w:tcPr>
          <w:p>
            <w:pPr>
              <w:pStyle w:val="0"/>
              <w:jc w:val="center"/>
            </w:pPr>
            <w:r>
              <w:rPr>
                <w:sz w:val="20"/>
              </w:rPr>
              <w:t xml:space="preserve">1548,0</w:t>
            </w:r>
          </w:p>
        </w:tc>
        <w:tc>
          <w:tcPr>
            <w:tcW w:w="1264" w:type="dxa"/>
            <w:vAlign w:val="center"/>
          </w:tcPr>
          <w:p>
            <w:pPr>
              <w:pStyle w:val="0"/>
              <w:jc w:val="center"/>
            </w:pPr>
            <w:r>
              <w:rPr>
                <w:sz w:val="20"/>
              </w:rPr>
              <w:t xml:space="preserve">9333,0</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3.4</w:t>
            </w:r>
          </w:p>
        </w:tc>
        <w:tc>
          <w:tcPr>
            <w:tcW w:w="2314" w:type="dxa"/>
            <w:vAlign w:val="center"/>
            <w:vMerge w:val="restart"/>
          </w:tcPr>
          <w:p>
            <w:pPr>
              <w:pStyle w:val="0"/>
              <w:jc w:val="center"/>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19025,60</w:t>
            </w:r>
          </w:p>
        </w:tc>
        <w:tc>
          <w:tcPr>
            <w:tcW w:w="1024" w:type="dxa"/>
            <w:vAlign w:val="center"/>
          </w:tcPr>
          <w:p>
            <w:pPr>
              <w:pStyle w:val="0"/>
              <w:jc w:val="center"/>
            </w:pPr>
            <w:r>
              <w:rPr>
                <w:sz w:val="20"/>
              </w:rPr>
              <w:t xml:space="preserve">8932,0</w:t>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27957,6</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17121</w:t>
            </w:r>
          </w:p>
        </w:tc>
        <w:tc>
          <w:tcPr>
            <w:tcW w:w="1024" w:type="dxa"/>
            <w:vAlign w:val="center"/>
          </w:tcPr>
          <w:p>
            <w:pPr>
              <w:pStyle w:val="0"/>
              <w:jc w:val="center"/>
            </w:pPr>
            <w:r>
              <w:rPr>
                <w:sz w:val="20"/>
              </w:rPr>
              <w:t xml:space="preserve">8039,0</w:t>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25160,0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1905</w:t>
            </w:r>
          </w:p>
        </w:tc>
        <w:tc>
          <w:tcPr>
            <w:tcW w:w="1024" w:type="dxa"/>
            <w:vAlign w:val="center"/>
          </w:tcPr>
          <w:p>
            <w:pPr>
              <w:pStyle w:val="0"/>
              <w:jc w:val="center"/>
            </w:pPr>
            <w:r>
              <w:rPr>
                <w:sz w:val="20"/>
              </w:rPr>
              <w:t xml:space="preserve">893,0</w:t>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2797,6</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4</w:t>
            </w:r>
          </w:p>
        </w:tc>
        <w:tc>
          <w:tcPr>
            <w:tcW w:w="2314" w:type="dxa"/>
            <w:vAlign w:val="center"/>
            <w:vMerge w:val="restart"/>
          </w:tcPr>
          <w:p>
            <w:pPr>
              <w:pStyle w:val="0"/>
              <w:jc w:val="center"/>
            </w:pPr>
            <w:r>
              <w:rPr>
                <w:sz w:val="20"/>
              </w:rPr>
              <w:t xml:space="preserve">Сохранение, воспроизводство и использование животного мира</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9914</w:t>
            </w:r>
          </w:p>
        </w:tc>
        <w:tc>
          <w:tcPr>
            <w:tcW w:w="844" w:type="dxa"/>
            <w:vAlign w:val="center"/>
          </w:tcPr>
          <w:p>
            <w:pPr>
              <w:pStyle w:val="0"/>
              <w:jc w:val="center"/>
            </w:pPr>
            <w:r>
              <w:rPr>
                <w:sz w:val="20"/>
              </w:rPr>
              <w:t xml:space="preserve">6845</w:t>
            </w:r>
          </w:p>
        </w:tc>
        <w:tc>
          <w:tcPr>
            <w:tcW w:w="1144" w:type="dxa"/>
            <w:vAlign w:val="center"/>
          </w:tcPr>
          <w:p>
            <w:pPr>
              <w:pStyle w:val="0"/>
              <w:jc w:val="center"/>
            </w:pPr>
            <w:r>
              <w:rPr>
                <w:sz w:val="20"/>
              </w:rPr>
              <w:t xml:space="preserve">8571,50</w:t>
            </w:r>
          </w:p>
        </w:tc>
        <w:tc>
          <w:tcPr>
            <w:tcW w:w="844" w:type="dxa"/>
            <w:vAlign w:val="center"/>
          </w:tcPr>
          <w:p>
            <w:pPr>
              <w:pStyle w:val="0"/>
              <w:jc w:val="center"/>
            </w:pPr>
            <w:r>
              <w:rPr>
                <w:sz w:val="20"/>
              </w:rPr>
              <w:t xml:space="preserve">9167</w:t>
            </w:r>
          </w:p>
        </w:tc>
        <w:tc>
          <w:tcPr>
            <w:tcW w:w="1144" w:type="dxa"/>
            <w:vAlign w:val="center"/>
          </w:tcPr>
          <w:p>
            <w:pPr>
              <w:pStyle w:val="0"/>
              <w:jc w:val="center"/>
            </w:pPr>
            <w:r>
              <w:rPr>
                <w:sz w:val="20"/>
              </w:rPr>
              <w:t xml:space="preserve">9161</w:t>
            </w:r>
          </w:p>
        </w:tc>
        <w:tc>
          <w:tcPr>
            <w:tcW w:w="1024" w:type="dxa"/>
            <w:vAlign w:val="center"/>
          </w:tcPr>
          <w:p>
            <w:pPr>
              <w:pStyle w:val="0"/>
              <w:jc w:val="center"/>
            </w:pPr>
            <w:r>
              <w:rPr>
                <w:sz w:val="20"/>
              </w:rPr>
              <w:t xml:space="preserve">9473,4</w:t>
            </w:r>
          </w:p>
        </w:tc>
        <w:tc>
          <w:tcPr>
            <w:tcW w:w="1024" w:type="dxa"/>
            <w:vAlign w:val="center"/>
          </w:tcPr>
          <w:p>
            <w:pPr>
              <w:pStyle w:val="0"/>
              <w:jc w:val="center"/>
            </w:pPr>
            <w:r>
              <w:rPr>
                <w:sz w:val="20"/>
              </w:rPr>
              <w:t xml:space="preserve">9713,3</w:t>
            </w:r>
          </w:p>
        </w:tc>
        <w:tc>
          <w:tcPr>
            <w:tcW w:w="1264" w:type="dxa"/>
            <w:vAlign w:val="center"/>
          </w:tcPr>
          <w:p>
            <w:pPr>
              <w:pStyle w:val="0"/>
              <w:jc w:val="center"/>
            </w:pPr>
            <w:r>
              <w:rPr>
                <w:sz w:val="20"/>
              </w:rPr>
              <w:t xml:space="preserve">62845,2</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8749</w:t>
            </w:r>
          </w:p>
        </w:tc>
        <w:tc>
          <w:tcPr>
            <w:tcW w:w="844" w:type="dxa"/>
            <w:vAlign w:val="center"/>
          </w:tcPr>
          <w:p>
            <w:pPr>
              <w:pStyle w:val="0"/>
              <w:jc w:val="center"/>
            </w:pPr>
            <w:r>
              <w:rPr>
                <w:sz w:val="20"/>
              </w:rPr>
              <w:t xml:space="preserve">6845</w:t>
            </w:r>
          </w:p>
        </w:tc>
        <w:tc>
          <w:tcPr>
            <w:tcW w:w="1144" w:type="dxa"/>
            <w:vAlign w:val="center"/>
          </w:tcPr>
          <w:p>
            <w:pPr>
              <w:pStyle w:val="0"/>
              <w:jc w:val="center"/>
            </w:pPr>
            <w:r>
              <w:rPr>
                <w:sz w:val="20"/>
              </w:rPr>
              <w:t xml:space="preserve">8571,50</w:t>
            </w:r>
          </w:p>
        </w:tc>
        <w:tc>
          <w:tcPr>
            <w:tcW w:w="844" w:type="dxa"/>
            <w:vAlign w:val="center"/>
          </w:tcPr>
          <w:p>
            <w:pPr>
              <w:pStyle w:val="0"/>
              <w:jc w:val="center"/>
            </w:pPr>
            <w:r>
              <w:rPr>
                <w:sz w:val="20"/>
              </w:rPr>
              <w:t xml:space="preserve">9167</w:t>
            </w:r>
          </w:p>
        </w:tc>
        <w:tc>
          <w:tcPr>
            <w:tcW w:w="1144" w:type="dxa"/>
            <w:vAlign w:val="center"/>
          </w:tcPr>
          <w:p>
            <w:pPr>
              <w:pStyle w:val="0"/>
              <w:jc w:val="center"/>
            </w:pPr>
            <w:r>
              <w:rPr>
                <w:sz w:val="20"/>
              </w:rPr>
              <w:t xml:space="preserve">9161</w:t>
            </w:r>
          </w:p>
        </w:tc>
        <w:tc>
          <w:tcPr>
            <w:tcW w:w="1024" w:type="dxa"/>
            <w:vAlign w:val="center"/>
          </w:tcPr>
          <w:p>
            <w:pPr>
              <w:pStyle w:val="0"/>
              <w:jc w:val="center"/>
            </w:pPr>
            <w:r>
              <w:rPr>
                <w:sz w:val="20"/>
              </w:rPr>
              <w:t xml:space="preserve">9473,4</w:t>
            </w:r>
          </w:p>
        </w:tc>
        <w:tc>
          <w:tcPr>
            <w:tcW w:w="1024" w:type="dxa"/>
            <w:vAlign w:val="center"/>
          </w:tcPr>
          <w:p>
            <w:pPr>
              <w:pStyle w:val="0"/>
              <w:jc w:val="center"/>
            </w:pPr>
            <w:r>
              <w:rPr>
                <w:sz w:val="20"/>
              </w:rPr>
              <w:t xml:space="preserve">9713,3</w:t>
            </w:r>
          </w:p>
        </w:tc>
        <w:tc>
          <w:tcPr>
            <w:tcW w:w="1264" w:type="dxa"/>
            <w:vAlign w:val="center"/>
          </w:tcPr>
          <w:p>
            <w:pPr>
              <w:pStyle w:val="0"/>
              <w:jc w:val="center"/>
            </w:pPr>
            <w:r>
              <w:rPr>
                <w:sz w:val="20"/>
              </w:rPr>
              <w:t xml:space="preserve">61680,2</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1165</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1165,0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4.1</w:t>
            </w:r>
          </w:p>
        </w:tc>
        <w:tc>
          <w:tcPr>
            <w:tcW w:w="2314" w:type="dxa"/>
            <w:vAlign w:val="center"/>
            <w:vMerge w:val="restart"/>
          </w:tcPr>
          <w:p>
            <w:pPr>
              <w:pStyle w:val="0"/>
              <w:jc w:val="center"/>
            </w:pPr>
            <w:r>
              <w:rPr>
                <w:sz w:val="20"/>
              </w:rPr>
              <w:t xml:space="preserve">Осуществление переданных органам государственной власти субъектов Российской Федерации в соответствии с </w:t>
            </w:r>
            <w:hyperlink w:history="0" r:id="rId202"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258</w:t>
            </w:r>
          </w:p>
        </w:tc>
        <w:tc>
          <w:tcPr>
            <w:tcW w:w="844" w:type="dxa"/>
            <w:vAlign w:val="center"/>
          </w:tcPr>
          <w:p>
            <w:pPr>
              <w:pStyle w:val="0"/>
              <w:jc w:val="center"/>
            </w:pPr>
            <w:r>
              <w:rPr>
                <w:sz w:val="20"/>
              </w:rPr>
              <w:t xml:space="preserve">190</w:t>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448,0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258</w:t>
            </w:r>
          </w:p>
        </w:tc>
        <w:tc>
          <w:tcPr>
            <w:tcW w:w="844" w:type="dxa"/>
            <w:vAlign w:val="center"/>
          </w:tcPr>
          <w:p>
            <w:pPr>
              <w:pStyle w:val="0"/>
              <w:jc w:val="center"/>
            </w:pPr>
            <w:r>
              <w:rPr>
                <w:sz w:val="20"/>
              </w:rPr>
              <w:t xml:space="preserve">190</w:t>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448,0</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4.2</w:t>
            </w:r>
          </w:p>
        </w:tc>
        <w:tc>
          <w:tcPr>
            <w:tcW w:w="2314" w:type="dxa"/>
            <w:vAlign w:val="center"/>
            <w:vMerge w:val="restart"/>
          </w:tcPr>
          <w:p>
            <w:pPr>
              <w:pStyle w:val="0"/>
              <w:jc w:val="center"/>
            </w:pPr>
            <w:r>
              <w:rPr>
                <w:sz w:val="20"/>
              </w:rPr>
              <w:t xml:space="preserve">Мероприятия в рамках подпрограммы 4 "Сохранение, воспроизводство и использование животного мира"</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1165</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1165,0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1165</w:t>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1165,0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4.3</w:t>
            </w:r>
          </w:p>
        </w:tc>
        <w:tc>
          <w:tcPr>
            <w:tcW w:w="2314" w:type="dxa"/>
            <w:vAlign w:val="center"/>
            <w:vMerge w:val="restart"/>
          </w:tcPr>
          <w:p>
            <w:pPr>
              <w:pStyle w:val="0"/>
              <w:jc w:val="center"/>
            </w:pPr>
            <w:r>
              <w:rPr>
                <w:sz w:val="20"/>
              </w:rPr>
              <w:t xml:space="preserve">Осуществление переданных органам государственной власти субъектов Российской Федерации в соответствии с </w:t>
            </w:r>
            <w:hyperlink w:history="0" r:id="rId203"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законодательный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8440</w:t>
            </w:r>
          </w:p>
        </w:tc>
        <w:tc>
          <w:tcPr>
            <w:tcW w:w="844" w:type="dxa"/>
            <w:vAlign w:val="center"/>
          </w:tcPr>
          <w:p>
            <w:pPr>
              <w:pStyle w:val="0"/>
              <w:jc w:val="center"/>
            </w:pPr>
            <w:r>
              <w:rPr>
                <w:sz w:val="20"/>
              </w:rPr>
              <w:t xml:space="preserve">6655</w:t>
            </w:r>
          </w:p>
        </w:tc>
        <w:tc>
          <w:tcPr>
            <w:tcW w:w="1144" w:type="dxa"/>
            <w:vAlign w:val="center"/>
          </w:tcPr>
          <w:p>
            <w:pPr>
              <w:pStyle w:val="0"/>
              <w:jc w:val="center"/>
            </w:pPr>
            <w:r>
              <w:rPr>
                <w:sz w:val="20"/>
              </w:rPr>
              <w:t xml:space="preserve">8490,40</w:t>
            </w:r>
          </w:p>
        </w:tc>
        <w:tc>
          <w:tcPr>
            <w:tcW w:w="844" w:type="dxa"/>
            <w:vAlign w:val="center"/>
          </w:tcPr>
          <w:p>
            <w:pPr>
              <w:pStyle w:val="0"/>
              <w:jc w:val="center"/>
            </w:pPr>
            <w:r>
              <w:rPr>
                <w:sz w:val="20"/>
              </w:rPr>
              <w:t xml:space="preserve">9012</w:t>
            </w:r>
          </w:p>
        </w:tc>
        <w:tc>
          <w:tcPr>
            <w:tcW w:w="1144" w:type="dxa"/>
            <w:vAlign w:val="center"/>
          </w:tcPr>
          <w:p>
            <w:pPr>
              <w:pStyle w:val="0"/>
              <w:jc w:val="center"/>
            </w:pPr>
            <w:r>
              <w:rPr>
                <w:sz w:val="20"/>
              </w:rPr>
              <w:t xml:space="preserve">9024</w:t>
            </w:r>
          </w:p>
        </w:tc>
        <w:tc>
          <w:tcPr>
            <w:tcW w:w="1024" w:type="dxa"/>
            <w:vAlign w:val="center"/>
          </w:tcPr>
          <w:p>
            <w:pPr>
              <w:pStyle w:val="0"/>
              <w:jc w:val="center"/>
            </w:pPr>
            <w:r>
              <w:rPr>
                <w:sz w:val="20"/>
              </w:rPr>
              <w:t xml:space="preserve">9317,6</w:t>
            </w:r>
          </w:p>
        </w:tc>
        <w:tc>
          <w:tcPr>
            <w:tcW w:w="1024" w:type="dxa"/>
            <w:vAlign w:val="center"/>
          </w:tcPr>
          <w:p>
            <w:pPr>
              <w:pStyle w:val="0"/>
              <w:jc w:val="center"/>
            </w:pPr>
            <w:r>
              <w:rPr>
                <w:sz w:val="20"/>
              </w:rPr>
              <w:t xml:space="preserve">9557,5</w:t>
            </w:r>
          </w:p>
        </w:tc>
        <w:tc>
          <w:tcPr>
            <w:tcW w:w="1264" w:type="dxa"/>
            <w:vAlign w:val="center"/>
          </w:tcPr>
          <w:p>
            <w:pPr>
              <w:pStyle w:val="0"/>
              <w:jc w:val="center"/>
            </w:pPr>
            <w:r>
              <w:rPr>
                <w:sz w:val="20"/>
              </w:rPr>
              <w:t xml:space="preserve">60496,5</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8440</w:t>
            </w:r>
          </w:p>
        </w:tc>
        <w:tc>
          <w:tcPr>
            <w:tcW w:w="844" w:type="dxa"/>
            <w:vAlign w:val="center"/>
          </w:tcPr>
          <w:p>
            <w:pPr>
              <w:pStyle w:val="0"/>
              <w:jc w:val="center"/>
            </w:pPr>
            <w:r>
              <w:rPr>
                <w:sz w:val="20"/>
              </w:rPr>
              <w:t xml:space="preserve">6655</w:t>
            </w:r>
          </w:p>
        </w:tc>
        <w:tc>
          <w:tcPr>
            <w:tcW w:w="1144" w:type="dxa"/>
            <w:vAlign w:val="center"/>
          </w:tcPr>
          <w:p>
            <w:pPr>
              <w:pStyle w:val="0"/>
              <w:jc w:val="center"/>
            </w:pPr>
            <w:r>
              <w:rPr>
                <w:sz w:val="20"/>
              </w:rPr>
              <w:t xml:space="preserve">8490,40</w:t>
            </w:r>
          </w:p>
        </w:tc>
        <w:tc>
          <w:tcPr>
            <w:tcW w:w="844" w:type="dxa"/>
            <w:vAlign w:val="center"/>
          </w:tcPr>
          <w:p>
            <w:pPr>
              <w:pStyle w:val="0"/>
              <w:jc w:val="center"/>
            </w:pPr>
            <w:r>
              <w:rPr>
                <w:sz w:val="20"/>
              </w:rPr>
              <w:t xml:space="preserve">9012</w:t>
            </w:r>
          </w:p>
        </w:tc>
        <w:tc>
          <w:tcPr>
            <w:tcW w:w="1144" w:type="dxa"/>
            <w:vAlign w:val="center"/>
          </w:tcPr>
          <w:p>
            <w:pPr>
              <w:pStyle w:val="0"/>
              <w:jc w:val="center"/>
            </w:pPr>
            <w:r>
              <w:rPr>
                <w:sz w:val="20"/>
              </w:rPr>
              <w:t xml:space="preserve">9024</w:t>
            </w:r>
          </w:p>
        </w:tc>
        <w:tc>
          <w:tcPr>
            <w:tcW w:w="1024" w:type="dxa"/>
            <w:vAlign w:val="center"/>
          </w:tcPr>
          <w:p>
            <w:pPr>
              <w:pStyle w:val="0"/>
              <w:jc w:val="center"/>
            </w:pPr>
            <w:r>
              <w:rPr>
                <w:sz w:val="20"/>
              </w:rPr>
              <w:t xml:space="preserve">9317,6</w:t>
            </w:r>
          </w:p>
        </w:tc>
        <w:tc>
          <w:tcPr>
            <w:tcW w:w="1024" w:type="dxa"/>
            <w:vAlign w:val="center"/>
          </w:tcPr>
          <w:p>
            <w:pPr>
              <w:pStyle w:val="0"/>
              <w:jc w:val="center"/>
            </w:pPr>
            <w:r>
              <w:rPr>
                <w:sz w:val="20"/>
              </w:rPr>
              <w:t xml:space="preserve">9557,5</w:t>
            </w:r>
          </w:p>
        </w:tc>
        <w:tc>
          <w:tcPr>
            <w:tcW w:w="1264" w:type="dxa"/>
            <w:vAlign w:val="center"/>
          </w:tcPr>
          <w:p>
            <w:pPr>
              <w:pStyle w:val="0"/>
              <w:jc w:val="center"/>
            </w:pPr>
            <w:r>
              <w:rPr>
                <w:sz w:val="20"/>
              </w:rPr>
              <w:t xml:space="preserve">60496,5</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4.4</w:t>
            </w:r>
          </w:p>
        </w:tc>
        <w:tc>
          <w:tcPr>
            <w:tcW w:w="2314" w:type="dxa"/>
            <w:vAlign w:val="center"/>
            <w:vMerge w:val="restart"/>
          </w:tcPr>
          <w:p>
            <w:pPr>
              <w:pStyle w:val="0"/>
              <w:jc w:val="center"/>
            </w:pPr>
            <w:r>
              <w:rPr>
                <w:sz w:val="20"/>
              </w:rPr>
              <w:t xml:space="preserve">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51</w:t>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81,10</w:t>
            </w:r>
          </w:p>
        </w:tc>
        <w:tc>
          <w:tcPr>
            <w:tcW w:w="844" w:type="dxa"/>
            <w:vAlign w:val="center"/>
          </w:tcPr>
          <w:p>
            <w:pPr>
              <w:pStyle w:val="0"/>
              <w:jc w:val="center"/>
            </w:pPr>
            <w:r>
              <w:rPr>
                <w:sz w:val="20"/>
              </w:rPr>
              <w:t xml:space="preserve">155</w:t>
            </w:r>
          </w:p>
        </w:tc>
        <w:tc>
          <w:tcPr>
            <w:tcW w:w="1144" w:type="dxa"/>
            <w:vAlign w:val="center"/>
          </w:tcPr>
          <w:p>
            <w:pPr>
              <w:pStyle w:val="0"/>
              <w:jc w:val="center"/>
            </w:pPr>
            <w:r>
              <w:rPr>
                <w:sz w:val="20"/>
              </w:rPr>
              <w:t xml:space="preserve">137</w:t>
            </w:r>
          </w:p>
        </w:tc>
        <w:tc>
          <w:tcPr>
            <w:tcW w:w="1024" w:type="dxa"/>
            <w:vAlign w:val="center"/>
          </w:tcPr>
          <w:p>
            <w:pPr>
              <w:pStyle w:val="0"/>
              <w:jc w:val="center"/>
            </w:pPr>
            <w:r>
              <w:rPr>
                <w:sz w:val="20"/>
              </w:rPr>
              <w:t xml:space="preserve">155,8</w:t>
            </w:r>
          </w:p>
        </w:tc>
        <w:tc>
          <w:tcPr>
            <w:tcW w:w="1024" w:type="dxa"/>
            <w:vAlign w:val="center"/>
          </w:tcPr>
          <w:p>
            <w:pPr>
              <w:pStyle w:val="0"/>
              <w:jc w:val="center"/>
            </w:pPr>
            <w:r>
              <w:rPr>
                <w:sz w:val="20"/>
              </w:rPr>
              <w:t xml:space="preserve">155,8</w:t>
            </w:r>
          </w:p>
        </w:tc>
        <w:tc>
          <w:tcPr>
            <w:tcW w:w="1264" w:type="dxa"/>
            <w:vAlign w:val="center"/>
          </w:tcPr>
          <w:p>
            <w:pPr>
              <w:pStyle w:val="0"/>
              <w:jc w:val="center"/>
            </w:pPr>
            <w:r>
              <w:rPr>
                <w:sz w:val="20"/>
              </w:rPr>
              <w:t xml:space="preserve">735,7</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51</w:t>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81,10</w:t>
            </w:r>
          </w:p>
        </w:tc>
        <w:tc>
          <w:tcPr>
            <w:tcW w:w="844" w:type="dxa"/>
            <w:vAlign w:val="center"/>
          </w:tcPr>
          <w:p>
            <w:pPr>
              <w:pStyle w:val="0"/>
              <w:jc w:val="center"/>
            </w:pPr>
            <w:r>
              <w:rPr>
                <w:sz w:val="20"/>
              </w:rPr>
              <w:t xml:space="preserve">155</w:t>
            </w:r>
          </w:p>
        </w:tc>
        <w:tc>
          <w:tcPr>
            <w:tcW w:w="1144" w:type="dxa"/>
            <w:vAlign w:val="center"/>
          </w:tcPr>
          <w:p>
            <w:pPr>
              <w:pStyle w:val="0"/>
              <w:jc w:val="center"/>
            </w:pPr>
            <w:r>
              <w:rPr>
                <w:sz w:val="20"/>
              </w:rPr>
              <w:t xml:space="preserve">137</w:t>
            </w:r>
          </w:p>
        </w:tc>
        <w:tc>
          <w:tcPr>
            <w:tcW w:w="1024" w:type="dxa"/>
            <w:vAlign w:val="center"/>
          </w:tcPr>
          <w:p>
            <w:pPr>
              <w:pStyle w:val="0"/>
              <w:jc w:val="center"/>
            </w:pPr>
            <w:r>
              <w:rPr>
                <w:sz w:val="20"/>
              </w:rPr>
              <w:t xml:space="preserve">155,8</w:t>
            </w:r>
          </w:p>
        </w:tc>
        <w:tc>
          <w:tcPr>
            <w:tcW w:w="1024" w:type="dxa"/>
            <w:vAlign w:val="center"/>
          </w:tcPr>
          <w:p>
            <w:pPr>
              <w:pStyle w:val="0"/>
              <w:jc w:val="center"/>
            </w:pPr>
            <w:r>
              <w:rPr>
                <w:sz w:val="20"/>
              </w:rPr>
              <w:t xml:space="preserve">155,8</w:t>
            </w:r>
          </w:p>
        </w:tc>
        <w:tc>
          <w:tcPr>
            <w:tcW w:w="1264" w:type="dxa"/>
            <w:vAlign w:val="center"/>
          </w:tcPr>
          <w:p>
            <w:pPr>
              <w:pStyle w:val="0"/>
              <w:jc w:val="center"/>
            </w:pPr>
            <w:r>
              <w:rPr>
                <w:sz w:val="20"/>
              </w:rPr>
              <w:t xml:space="preserve">735,7</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5</w:t>
            </w:r>
          </w:p>
        </w:tc>
        <w:tc>
          <w:tcPr>
            <w:tcW w:w="2314" w:type="dxa"/>
            <w:vAlign w:val="center"/>
            <w:vMerge w:val="restart"/>
          </w:tcPr>
          <w:p>
            <w:pPr>
              <w:pStyle w:val="0"/>
              <w:jc w:val="center"/>
            </w:pPr>
            <w:r>
              <w:rPr>
                <w:sz w:val="20"/>
              </w:rPr>
              <w:t xml:space="preserve">Любительское рыболовство и охрана водных биоресурсов</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338</w:t>
            </w:r>
          </w:p>
        </w:tc>
        <w:tc>
          <w:tcPr>
            <w:tcW w:w="844" w:type="dxa"/>
            <w:vAlign w:val="center"/>
          </w:tcPr>
          <w:p>
            <w:pPr>
              <w:pStyle w:val="0"/>
              <w:jc w:val="center"/>
            </w:pPr>
            <w:r>
              <w:rPr>
                <w:sz w:val="20"/>
              </w:rPr>
              <w:t xml:space="preserve">266</w:t>
            </w:r>
          </w:p>
        </w:tc>
        <w:tc>
          <w:tcPr>
            <w:tcW w:w="1144" w:type="dxa"/>
            <w:vAlign w:val="center"/>
          </w:tcPr>
          <w:p>
            <w:pPr>
              <w:pStyle w:val="0"/>
              <w:jc w:val="center"/>
            </w:pPr>
            <w:r>
              <w:rPr>
                <w:sz w:val="20"/>
              </w:rPr>
              <w:t xml:space="preserve">266,00</w:t>
            </w:r>
          </w:p>
        </w:tc>
        <w:tc>
          <w:tcPr>
            <w:tcW w:w="844" w:type="dxa"/>
            <w:vAlign w:val="center"/>
          </w:tcPr>
          <w:p>
            <w:pPr>
              <w:pStyle w:val="0"/>
              <w:jc w:val="center"/>
            </w:pPr>
            <w:r>
              <w:rPr>
                <w:sz w:val="20"/>
              </w:rPr>
              <w:t xml:space="preserve">123</w:t>
            </w:r>
          </w:p>
        </w:tc>
        <w:tc>
          <w:tcPr>
            <w:tcW w:w="1144" w:type="dxa"/>
            <w:vAlign w:val="center"/>
          </w:tcPr>
          <w:p>
            <w:pPr>
              <w:pStyle w:val="0"/>
              <w:jc w:val="center"/>
            </w:pPr>
            <w:r>
              <w:rPr>
                <w:sz w:val="20"/>
              </w:rPr>
              <w:t xml:space="preserve">123</w:t>
            </w:r>
          </w:p>
        </w:tc>
        <w:tc>
          <w:tcPr>
            <w:tcW w:w="1024" w:type="dxa"/>
            <w:vAlign w:val="center"/>
          </w:tcPr>
          <w:p>
            <w:pPr>
              <w:pStyle w:val="0"/>
              <w:jc w:val="center"/>
            </w:pPr>
            <w:r>
              <w:rPr>
                <w:sz w:val="20"/>
              </w:rPr>
              <w:t xml:space="preserve">117,4</w:t>
            </w:r>
          </w:p>
        </w:tc>
        <w:tc>
          <w:tcPr>
            <w:tcW w:w="1024" w:type="dxa"/>
            <w:vAlign w:val="center"/>
          </w:tcPr>
          <w:p>
            <w:pPr>
              <w:pStyle w:val="0"/>
              <w:jc w:val="center"/>
            </w:pPr>
            <w:r>
              <w:rPr>
                <w:sz w:val="20"/>
              </w:rPr>
              <w:t xml:space="preserve">123,5</w:t>
            </w:r>
          </w:p>
        </w:tc>
        <w:tc>
          <w:tcPr>
            <w:tcW w:w="1264" w:type="dxa"/>
            <w:vAlign w:val="center"/>
          </w:tcPr>
          <w:p>
            <w:pPr>
              <w:pStyle w:val="0"/>
              <w:jc w:val="center"/>
            </w:pPr>
            <w:r>
              <w:rPr>
                <w:sz w:val="20"/>
              </w:rPr>
              <w:t xml:space="preserve">1356,9</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98</w:t>
            </w:r>
          </w:p>
        </w:tc>
        <w:tc>
          <w:tcPr>
            <w:tcW w:w="844" w:type="dxa"/>
            <w:vAlign w:val="center"/>
          </w:tcPr>
          <w:p>
            <w:pPr>
              <w:pStyle w:val="0"/>
              <w:jc w:val="center"/>
            </w:pPr>
            <w:r>
              <w:rPr>
                <w:sz w:val="20"/>
              </w:rPr>
              <w:t xml:space="preserve">26</w:t>
            </w:r>
          </w:p>
        </w:tc>
        <w:tc>
          <w:tcPr>
            <w:tcW w:w="1144" w:type="dxa"/>
            <w:vAlign w:val="center"/>
          </w:tcPr>
          <w:p>
            <w:pPr>
              <w:pStyle w:val="0"/>
              <w:jc w:val="center"/>
            </w:pPr>
            <w:r>
              <w:rPr>
                <w:sz w:val="20"/>
              </w:rPr>
              <w:t xml:space="preserve">26,00</w:t>
            </w:r>
          </w:p>
        </w:tc>
        <w:tc>
          <w:tcPr>
            <w:tcW w:w="844" w:type="dxa"/>
            <w:vAlign w:val="center"/>
          </w:tcPr>
          <w:p>
            <w:pPr>
              <w:pStyle w:val="0"/>
              <w:jc w:val="center"/>
            </w:pPr>
            <w:r>
              <w:rPr>
                <w:sz w:val="20"/>
              </w:rPr>
              <w:t xml:space="preserve">27</w:t>
            </w:r>
          </w:p>
        </w:tc>
        <w:tc>
          <w:tcPr>
            <w:tcW w:w="1144" w:type="dxa"/>
            <w:vAlign w:val="center"/>
          </w:tcPr>
          <w:p>
            <w:pPr>
              <w:pStyle w:val="0"/>
              <w:jc w:val="center"/>
            </w:pPr>
            <w:r>
              <w:rPr>
                <w:sz w:val="20"/>
              </w:rPr>
              <w:t xml:space="preserve">27</w:t>
            </w:r>
          </w:p>
        </w:tc>
        <w:tc>
          <w:tcPr>
            <w:tcW w:w="1024" w:type="dxa"/>
            <w:vAlign w:val="center"/>
          </w:tcPr>
          <w:p>
            <w:pPr>
              <w:pStyle w:val="0"/>
              <w:jc w:val="center"/>
            </w:pPr>
            <w:r>
              <w:rPr>
                <w:sz w:val="20"/>
              </w:rPr>
              <w:t xml:space="preserve">21,4</w:t>
            </w:r>
          </w:p>
        </w:tc>
        <w:tc>
          <w:tcPr>
            <w:tcW w:w="1024" w:type="dxa"/>
            <w:vAlign w:val="center"/>
          </w:tcPr>
          <w:p>
            <w:pPr>
              <w:pStyle w:val="0"/>
              <w:jc w:val="center"/>
            </w:pPr>
            <w:r>
              <w:rPr>
                <w:sz w:val="20"/>
              </w:rPr>
              <w:t xml:space="preserve">27,5</w:t>
            </w:r>
          </w:p>
        </w:tc>
        <w:tc>
          <w:tcPr>
            <w:tcW w:w="1264" w:type="dxa"/>
            <w:vAlign w:val="center"/>
          </w:tcPr>
          <w:p>
            <w:pPr>
              <w:pStyle w:val="0"/>
              <w:jc w:val="center"/>
            </w:pPr>
            <w:r>
              <w:rPr>
                <w:sz w:val="20"/>
              </w:rPr>
              <w:t xml:space="preserve">252,9</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240</w:t>
            </w:r>
          </w:p>
        </w:tc>
        <w:tc>
          <w:tcPr>
            <w:tcW w:w="844" w:type="dxa"/>
            <w:vAlign w:val="center"/>
          </w:tcPr>
          <w:p>
            <w:pPr>
              <w:pStyle w:val="0"/>
              <w:jc w:val="center"/>
            </w:pPr>
            <w:r>
              <w:rPr>
                <w:sz w:val="20"/>
              </w:rPr>
              <w:t xml:space="preserve">240</w:t>
            </w:r>
          </w:p>
        </w:tc>
        <w:tc>
          <w:tcPr>
            <w:tcW w:w="1144" w:type="dxa"/>
            <w:vAlign w:val="center"/>
          </w:tcPr>
          <w:p>
            <w:pPr>
              <w:pStyle w:val="0"/>
              <w:jc w:val="center"/>
            </w:pPr>
            <w:r>
              <w:rPr>
                <w:sz w:val="20"/>
              </w:rPr>
              <w:t xml:space="preserve">240,00</w:t>
            </w:r>
          </w:p>
        </w:tc>
        <w:tc>
          <w:tcPr>
            <w:tcW w:w="844" w:type="dxa"/>
            <w:vAlign w:val="center"/>
          </w:tcPr>
          <w:p>
            <w:pPr>
              <w:pStyle w:val="0"/>
              <w:jc w:val="center"/>
            </w:pPr>
            <w:r>
              <w:rPr>
                <w:sz w:val="20"/>
              </w:rPr>
              <w:t xml:space="preserve">96</w:t>
            </w:r>
          </w:p>
        </w:tc>
        <w:tc>
          <w:tcPr>
            <w:tcW w:w="11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96,0</w:t>
            </w:r>
          </w:p>
        </w:tc>
        <w:tc>
          <w:tcPr>
            <w:tcW w:w="1024" w:type="dxa"/>
            <w:vAlign w:val="center"/>
          </w:tcPr>
          <w:p>
            <w:pPr>
              <w:pStyle w:val="0"/>
              <w:jc w:val="center"/>
            </w:pPr>
            <w:r>
              <w:rPr>
                <w:sz w:val="20"/>
              </w:rPr>
              <w:t xml:space="preserve">96,0</w:t>
            </w:r>
          </w:p>
        </w:tc>
        <w:tc>
          <w:tcPr>
            <w:tcW w:w="1264" w:type="dxa"/>
            <w:vAlign w:val="center"/>
          </w:tcPr>
          <w:p>
            <w:pPr>
              <w:pStyle w:val="0"/>
              <w:jc w:val="center"/>
            </w:pPr>
            <w:r>
              <w:rPr>
                <w:sz w:val="20"/>
              </w:rPr>
              <w:t xml:space="preserve">1104,0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5.1</w:t>
            </w:r>
          </w:p>
        </w:tc>
        <w:tc>
          <w:tcPr>
            <w:tcW w:w="2314" w:type="dxa"/>
            <w:vAlign w:val="center"/>
            <w:vMerge w:val="restart"/>
          </w:tcPr>
          <w:p>
            <w:pPr>
              <w:pStyle w:val="0"/>
              <w:jc w:val="center"/>
            </w:pPr>
            <w:r>
              <w:rPr>
                <w:sz w:val="20"/>
              </w:rPr>
              <w:t xml:space="preserve">Организация, регулирование и охрана водных биологических ресурсов на территории Белгородской области</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98</w:t>
            </w:r>
          </w:p>
        </w:tc>
        <w:tc>
          <w:tcPr>
            <w:tcW w:w="844" w:type="dxa"/>
            <w:vAlign w:val="center"/>
          </w:tcPr>
          <w:p>
            <w:pPr>
              <w:pStyle w:val="0"/>
              <w:jc w:val="center"/>
            </w:pPr>
            <w:r>
              <w:rPr>
                <w:sz w:val="20"/>
              </w:rPr>
              <w:t xml:space="preserve">26</w:t>
            </w:r>
          </w:p>
        </w:tc>
        <w:tc>
          <w:tcPr>
            <w:tcW w:w="1144" w:type="dxa"/>
            <w:vAlign w:val="center"/>
          </w:tcPr>
          <w:p>
            <w:pPr>
              <w:pStyle w:val="0"/>
              <w:jc w:val="center"/>
            </w:pPr>
            <w:r>
              <w:rPr>
                <w:sz w:val="20"/>
              </w:rPr>
              <w:t xml:space="preserve">26,00</w:t>
            </w:r>
          </w:p>
        </w:tc>
        <w:tc>
          <w:tcPr>
            <w:tcW w:w="844" w:type="dxa"/>
            <w:vAlign w:val="center"/>
          </w:tcPr>
          <w:p>
            <w:pPr>
              <w:pStyle w:val="0"/>
              <w:jc w:val="center"/>
            </w:pPr>
            <w:r>
              <w:rPr>
                <w:sz w:val="20"/>
              </w:rPr>
              <w:t xml:space="preserve">27</w:t>
            </w:r>
          </w:p>
        </w:tc>
        <w:tc>
          <w:tcPr>
            <w:tcW w:w="1144" w:type="dxa"/>
            <w:vAlign w:val="center"/>
          </w:tcPr>
          <w:p>
            <w:pPr>
              <w:pStyle w:val="0"/>
              <w:jc w:val="center"/>
            </w:pPr>
            <w:r>
              <w:rPr>
                <w:sz w:val="20"/>
              </w:rPr>
              <w:t xml:space="preserve">27</w:t>
            </w:r>
          </w:p>
        </w:tc>
        <w:tc>
          <w:tcPr>
            <w:tcW w:w="1024" w:type="dxa"/>
            <w:vAlign w:val="center"/>
          </w:tcPr>
          <w:p>
            <w:pPr>
              <w:pStyle w:val="0"/>
              <w:jc w:val="center"/>
            </w:pPr>
            <w:r>
              <w:rPr>
                <w:sz w:val="20"/>
              </w:rPr>
              <w:t xml:space="preserve">21,4</w:t>
            </w:r>
          </w:p>
        </w:tc>
        <w:tc>
          <w:tcPr>
            <w:tcW w:w="1024" w:type="dxa"/>
            <w:vAlign w:val="center"/>
          </w:tcPr>
          <w:p>
            <w:pPr>
              <w:pStyle w:val="0"/>
              <w:jc w:val="center"/>
            </w:pPr>
            <w:r>
              <w:rPr>
                <w:sz w:val="20"/>
              </w:rPr>
              <w:t xml:space="preserve">27,5</w:t>
            </w:r>
          </w:p>
        </w:tc>
        <w:tc>
          <w:tcPr>
            <w:tcW w:w="1264" w:type="dxa"/>
            <w:vAlign w:val="center"/>
          </w:tcPr>
          <w:p>
            <w:pPr>
              <w:pStyle w:val="0"/>
              <w:jc w:val="center"/>
            </w:pPr>
            <w:r>
              <w:rPr>
                <w:sz w:val="20"/>
              </w:rPr>
              <w:t xml:space="preserve">252,9</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t xml:space="preserve">98</w:t>
            </w:r>
          </w:p>
        </w:tc>
        <w:tc>
          <w:tcPr>
            <w:tcW w:w="844" w:type="dxa"/>
            <w:vAlign w:val="center"/>
          </w:tcPr>
          <w:p>
            <w:pPr>
              <w:pStyle w:val="0"/>
              <w:jc w:val="center"/>
            </w:pPr>
            <w:r>
              <w:rPr>
                <w:sz w:val="20"/>
              </w:rPr>
              <w:t xml:space="preserve">26</w:t>
            </w:r>
          </w:p>
        </w:tc>
        <w:tc>
          <w:tcPr>
            <w:tcW w:w="1144" w:type="dxa"/>
            <w:vAlign w:val="center"/>
          </w:tcPr>
          <w:p>
            <w:pPr>
              <w:pStyle w:val="0"/>
              <w:jc w:val="center"/>
            </w:pPr>
            <w:r>
              <w:rPr>
                <w:sz w:val="20"/>
              </w:rPr>
              <w:t xml:space="preserve">26,00</w:t>
            </w:r>
          </w:p>
        </w:tc>
        <w:tc>
          <w:tcPr>
            <w:tcW w:w="844" w:type="dxa"/>
            <w:vAlign w:val="center"/>
          </w:tcPr>
          <w:p>
            <w:pPr>
              <w:pStyle w:val="0"/>
              <w:jc w:val="center"/>
            </w:pPr>
            <w:r>
              <w:rPr>
                <w:sz w:val="20"/>
              </w:rPr>
              <w:t xml:space="preserve">27</w:t>
            </w:r>
          </w:p>
        </w:tc>
        <w:tc>
          <w:tcPr>
            <w:tcW w:w="1144" w:type="dxa"/>
            <w:vAlign w:val="center"/>
          </w:tcPr>
          <w:p>
            <w:pPr>
              <w:pStyle w:val="0"/>
              <w:jc w:val="center"/>
            </w:pPr>
            <w:r>
              <w:rPr>
                <w:sz w:val="20"/>
              </w:rPr>
              <w:t xml:space="preserve">27</w:t>
            </w:r>
          </w:p>
        </w:tc>
        <w:tc>
          <w:tcPr>
            <w:tcW w:w="1024" w:type="dxa"/>
            <w:vAlign w:val="center"/>
          </w:tcPr>
          <w:p>
            <w:pPr>
              <w:pStyle w:val="0"/>
              <w:jc w:val="center"/>
            </w:pPr>
            <w:r>
              <w:rPr>
                <w:sz w:val="20"/>
              </w:rPr>
              <w:t xml:space="preserve">21,4</w:t>
            </w:r>
          </w:p>
        </w:tc>
        <w:tc>
          <w:tcPr>
            <w:tcW w:w="1024" w:type="dxa"/>
            <w:vAlign w:val="center"/>
          </w:tcPr>
          <w:p>
            <w:pPr>
              <w:pStyle w:val="0"/>
              <w:jc w:val="center"/>
            </w:pPr>
            <w:r>
              <w:rPr>
                <w:sz w:val="20"/>
              </w:rPr>
              <w:t xml:space="preserve">27,5</w:t>
            </w:r>
          </w:p>
        </w:tc>
        <w:tc>
          <w:tcPr>
            <w:tcW w:w="1264" w:type="dxa"/>
            <w:vAlign w:val="center"/>
          </w:tcPr>
          <w:p>
            <w:pPr>
              <w:pStyle w:val="0"/>
              <w:jc w:val="center"/>
            </w:pPr>
            <w:r>
              <w:rPr>
                <w:sz w:val="20"/>
              </w:rPr>
              <w:t xml:space="preserve">252,9</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5.2</w:t>
            </w:r>
          </w:p>
        </w:tc>
        <w:tc>
          <w:tcPr>
            <w:tcW w:w="2314" w:type="dxa"/>
            <w:vAlign w:val="center"/>
            <w:vMerge w:val="restart"/>
          </w:tcPr>
          <w:p>
            <w:pPr>
              <w:pStyle w:val="0"/>
              <w:jc w:val="center"/>
            </w:pPr>
            <w:r>
              <w:rPr>
                <w:sz w:val="20"/>
              </w:rPr>
              <w:t xml:space="preserve">Поддержка любительского рыболовства и охрана водных биоресурсов на территории Белгородской области</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240</w:t>
            </w:r>
          </w:p>
        </w:tc>
        <w:tc>
          <w:tcPr>
            <w:tcW w:w="844" w:type="dxa"/>
            <w:vAlign w:val="center"/>
          </w:tcPr>
          <w:p>
            <w:pPr>
              <w:pStyle w:val="0"/>
              <w:jc w:val="center"/>
            </w:pPr>
            <w:r>
              <w:rPr>
                <w:sz w:val="20"/>
              </w:rPr>
              <w:t xml:space="preserve">240</w:t>
            </w:r>
          </w:p>
        </w:tc>
        <w:tc>
          <w:tcPr>
            <w:tcW w:w="1144" w:type="dxa"/>
            <w:vAlign w:val="center"/>
          </w:tcPr>
          <w:p>
            <w:pPr>
              <w:pStyle w:val="0"/>
              <w:jc w:val="center"/>
            </w:pPr>
            <w:r>
              <w:rPr>
                <w:sz w:val="20"/>
              </w:rPr>
              <w:t xml:space="preserve">240,00</w:t>
            </w:r>
          </w:p>
        </w:tc>
        <w:tc>
          <w:tcPr>
            <w:tcW w:w="844" w:type="dxa"/>
            <w:vAlign w:val="center"/>
          </w:tcPr>
          <w:p>
            <w:pPr>
              <w:pStyle w:val="0"/>
              <w:jc w:val="center"/>
            </w:pPr>
            <w:r>
              <w:rPr>
                <w:sz w:val="20"/>
              </w:rPr>
              <w:t xml:space="preserve">96</w:t>
            </w:r>
          </w:p>
        </w:tc>
        <w:tc>
          <w:tcPr>
            <w:tcW w:w="11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96,0</w:t>
            </w:r>
          </w:p>
        </w:tc>
        <w:tc>
          <w:tcPr>
            <w:tcW w:w="1024" w:type="dxa"/>
            <w:vAlign w:val="center"/>
          </w:tcPr>
          <w:p>
            <w:pPr>
              <w:pStyle w:val="0"/>
              <w:jc w:val="center"/>
            </w:pPr>
            <w:r>
              <w:rPr>
                <w:sz w:val="20"/>
              </w:rPr>
              <w:t xml:space="preserve">96,0</w:t>
            </w:r>
          </w:p>
        </w:tc>
        <w:tc>
          <w:tcPr>
            <w:tcW w:w="1264" w:type="dxa"/>
            <w:vAlign w:val="center"/>
          </w:tcPr>
          <w:p>
            <w:pPr>
              <w:pStyle w:val="0"/>
              <w:jc w:val="center"/>
            </w:pPr>
            <w:r>
              <w:rPr>
                <w:sz w:val="20"/>
              </w:rPr>
              <w:t xml:space="preserve">1104,0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240</w:t>
            </w:r>
          </w:p>
        </w:tc>
        <w:tc>
          <w:tcPr>
            <w:tcW w:w="844" w:type="dxa"/>
            <w:vAlign w:val="center"/>
          </w:tcPr>
          <w:p>
            <w:pPr>
              <w:pStyle w:val="0"/>
              <w:jc w:val="center"/>
            </w:pPr>
            <w:r>
              <w:rPr>
                <w:sz w:val="20"/>
              </w:rPr>
              <w:t xml:space="preserve">240</w:t>
            </w:r>
          </w:p>
        </w:tc>
        <w:tc>
          <w:tcPr>
            <w:tcW w:w="1144" w:type="dxa"/>
            <w:vAlign w:val="center"/>
          </w:tcPr>
          <w:p>
            <w:pPr>
              <w:pStyle w:val="0"/>
              <w:jc w:val="center"/>
            </w:pPr>
            <w:r>
              <w:rPr>
                <w:sz w:val="20"/>
              </w:rPr>
              <w:t xml:space="preserve">240,00</w:t>
            </w:r>
          </w:p>
        </w:tc>
        <w:tc>
          <w:tcPr>
            <w:tcW w:w="844" w:type="dxa"/>
            <w:vAlign w:val="center"/>
          </w:tcPr>
          <w:p>
            <w:pPr>
              <w:pStyle w:val="0"/>
              <w:jc w:val="center"/>
            </w:pPr>
            <w:r>
              <w:rPr>
                <w:sz w:val="20"/>
              </w:rPr>
              <w:t xml:space="preserve">96</w:t>
            </w:r>
          </w:p>
        </w:tc>
        <w:tc>
          <w:tcPr>
            <w:tcW w:w="11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96,0</w:t>
            </w:r>
          </w:p>
        </w:tc>
        <w:tc>
          <w:tcPr>
            <w:tcW w:w="1024" w:type="dxa"/>
            <w:vAlign w:val="center"/>
          </w:tcPr>
          <w:p>
            <w:pPr>
              <w:pStyle w:val="0"/>
              <w:jc w:val="center"/>
            </w:pPr>
            <w:r>
              <w:rPr>
                <w:sz w:val="20"/>
              </w:rPr>
              <w:t xml:space="preserve">96,0</w:t>
            </w:r>
          </w:p>
        </w:tc>
        <w:tc>
          <w:tcPr>
            <w:tcW w:w="1264" w:type="dxa"/>
            <w:vAlign w:val="center"/>
          </w:tcPr>
          <w:p>
            <w:pPr>
              <w:pStyle w:val="0"/>
              <w:jc w:val="center"/>
            </w:pPr>
            <w:r>
              <w:rPr>
                <w:sz w:val="20"/>
              </w:rPr>
              <w:t xml:space="preserve">1104,0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6</w:t>
            </w:r>
          </w:p>
        </w:tc>
        <w:tc>
          <w:tcPr>
            <w:tcW w:w="2314" w:type="dxa"/>
            <w:vAlign w:val="center"/>
            <w:vMerge w:val="restart"/>
          </w:tcPr>
          <w:p>
            <w:pPr>
              <w:pStyle w:val="0"/>
              <w:jc w:val="center"/>
            </w:pPr>
            <w:r>
              <w:rPr>
                <w:sz w:val="20"/>
              </w:rPr>
              <w:t xml:space="preserve">Обеспечение реализации государственной программы</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103241</w:t>
            </w:r>
          </w:p>
        </w:tc>
        <w:tc>
          <w:tcPr>
            <w:tcW w:w="844" w:type="dxa"/>
            <w:vAlign w:val="center"/>
          </w:tcPr>
          <w:p>
            <w:pPr>
              <w:pStyle w:val="0"/>
              <w:jc w:val="center"/>
            </w:pPr>
            <w:r>
              <w:rPr>
                <w:sz w:val="20"/>
              </w:rPr>
              <w:t xml:space="preserve">88785</w:t>
            </w:r>
          </w:p>
        </w:tc>
        <w:tc>
          <w:tcPr>
            <w:tcW w:w="1144" w:type="dxa"/>
            <w:vAlign w:val="center"/>
          </w:tcPr>
          <w:p>
            <w:pPr>
              <w:pStyle w:val="0"/>
              <w:jc w:val="center"/>
            </w:pPr>
            <w:r>
              <w:rPr>
                <w:sz w:val="20"/>
              </w:rPr>
              <w:t xml:space="preserve">69104,00</w:t>
            </w:r>
          </w:p>
        </w:tc>
        <w:tc>
          <w:tcPr>
            <w:tcW w:w="844" w:type="dxa"/>
            <w:vAlign w:val="center"/>
          </w:tcPr>
          <w:p>
            <w:pPr>
              <w:pStyle w:val="0"/>
              <w:jc w:val="center"/>
            </w:pPr>
            <w:r>
              <w:rPr>
                <w:sz w:val="20"/>
              </w:rPr>
              <w:t xml:space="preserve">80121</w:t>
            </w:r>
          </w:p>
        </w:tc>
        <w:tc>
          <w:tcPr>
            <w:tcW w:w="1144" w:type="dxa"/>
            <w:vAlign w:val="center"/>
          </w:tcPr>
          <w:p>
            <w:pPr>
              <w:pStyle w:val="0"/>
              <w:jc w:val="center"/>
            </w:pPr>
            <w:r>
              <w:rPr>
                <w:sz w:val="20"/>
              </w:rPr>
              <w:t xml:space="preserve">107708</w:t>
            </w:r>
          </w:p>
        </w:tc>
        <w:tc>
          <w:tcPr>
            <w:tcW w:w="1024" w:type="dxa"/>
            <w:vAlign w:val="center"/>
          </w:tcPr>
          <w:p>
            <w:pPr>
              <w:pStyle w:val="0"/>
              <w:jc w:val="center"/>
            </w:pPr>
            <w:r>
              <w:rPr>
                <w:sz w:val="20"/>
              </w:rPr>
              <w:t xml:space="preserve">110499,9</w:t>
            </w:r>
          </w:p>
        </w:tc>
        <w:tc>
          <w:tcPr>
            <w:tcW w:w="1024" w:type="dxa"/>
            <w:vAlign w:val="center"/>
          </w:tcPr>
          <w:p>
            <w:pPr>
              <w:pStyle w:val="0"/>
              <w:jc w:val="center"/>
            </w:pPr>
            <w:r>
              <w:rPr>
                <w:sz w:val="20"/>
              </w:rPr>
              <w:t xml:space="preserve">102159</w:t>
            </w:r>
          </w:p>
        </w:tc>
        <w:tc>
          <w:tcPr>
            <w:tcW w:w="1264" w:type="dxa"/>
            <w:vAlign w:val="center"/>
          </w:tcPr>
          <w:p>
            <w:pPr>
              <w:pStyle w:val="0"/>
              <w:jc w:val="center"/>
            </w:pPr>
            <w:r>
              <w:rPr>
                <w:sz w:val="20"/>
              </w:rPr>
              <w:t xml:space="preserve">661617,9</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103241</w:t>
            </w:r>
          </w:p>
        </w:tc>
        <w:tc>
          <w:tcPr>
            <w:tcW w:w="844" w:type="dxa"/>
            <w:vAlign w:val="center"/>
          </w:tcPr>
          <w:p>
            <w:pPr>
              <w:pStyle w:val="0"/>
              <w:jc w:val="center"/>
            </w:pPr>
            <w:r>
              <w:rPr>
                <w:sz w:val="20"/>
              </w:rPr>
              <w:t xml:space="preserve">88785</w:t>
            </w:r>
          </w:p>
        </w:tc>
        <w:tc>
          <w:tcPr>
            <w:tcW w:w="1144" w:type="dxa"/>
            <w:vAlign w:val="center"/>
          </w:tcPr>
          <w:p>
            <w:pPr>
              <w:pStyle w:val="0"/>
              <w:jc w:val="center"/>
            </w:pPr>
            <w:r>
              <w:rPr>
                <w:sz w:val="20"/>
              </w:rPr>
              <w:t xml:space="preserve">69104,00</w:t>
            </w:r>
          </w:p>
        </w:tc>
        <w:tc>
          <w:tcPr>
            <w:tcW w:w="844" w:type="dxa"/>
            <w:vAlign w:val="center"/>
          </w:tcPr>
          <w:p>
            <w:pPr>
              <w:pStyle w:val="0"/>
              <w:jc w:val="center"/>
            </w:pPr>
            <w:r>
              <w:rPr>
                <w:sz w:val="20"/>
              </w:rPr>
              <w:t xml:space="preserve">80121</w:t>
            </w:r>
          </w:p>
        </w:tc>
        <w:tc>
          <w:tcPr>
            <w:tcW w:w="1144" w:type="dxa"/>
            <w:vAlign w:val="center"/>
          </w:tcPr>
          <w:p>
            <w:pPr>
              <w:pStyle w:val="0"/>
              <w:jc w:val="center"/>
            </w:pPr>
            <w:r>
              <w:rPr>
                <w:sz w:val="20"/>
              </w:rPr>
              <w:t xml:space="preserve">107708</w:t>
            </w:r>
          </w:p>
        </w:tc>
        <w:tc>
          <w:tcPr>
            <w:tcW w:w="1024" w:type="dxa"/>
            <w:vAlign w:val="center"/>
          </w:tcPr>
          <w:p>
            <w:pPr>
              <w:pStyle w:val="0"/>
              <w:jc w:val="center"/>
            </w:pPr>
            <w:r>
              <w:rPr>
                <w:sz w:val="20"/>
              </w:rPr>
              <w:t xml:space="preserve">110499,9</w:t>
            </w:r>
          </w:p>
        </w:tc>
        <w:tc>
          <w:tcPr>
            <w:tcW w:w="1024" w:type="dxa"/>
            <w:vAlign w:val="center"/>
          </w:tcPr>
          <w:p>
            <w:pPr>
              <w:pStyle w:val="0"/>
              <w:jc w:val="center"/>
            </w:pPr>
            <w:r>
              <w:rPr>
                <w:sz w:val="20"/>
              </w:rPr>
              <w:t xml:space="preserve">102159</w:t>
            </w:r>
          </w:p>
        </w:tc>
        <w:tc>
          <w:tcPr>
            <w:tcW w:w="1264" w:type="dxa"/>
            <w:vAlign w:val="center"/>
          </w:tcPr>
          <w:p>
            <w:pPr>
              <w:pStyle w:val="0"/>
              <w:jc w:val="center"/>
            </w:pPr>
            <w:r>
              <w:rPr>
                <w:sz w:val="20"/>
              </w:rPr>
              <w:t xml:space="preserve">661617,9</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6.1</w:t>
            </w:r>
          </w:p>
        </w:tc>
        <w:tc>
          <w:tcPr>
            <w:tcW w:w="2314" w:type="dxa"/>
            <w:vAlign w:val="center"/>
            <w:vMerge w:val="restart"/>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92824</w:t>
            </w:r>
          </w:p>
        </w:tc>
        <w:tc>
          <w:tcPr>
            <w:tcW w:w="844" w:type="dxa"/>
            <w:vAlign w:val="center"/>
          </w:tcPr>
          <w:p>
            <w:pPr>
              <w:pStyle w:val="0"/>
              <w:jc w:val="center"/>
            </w:pPr>
            <w:r>
              <w:rPr>
                <w:sz w:val="20"/>
              </w:rPr>
              <w:t xml:space="preserve">71930</w:t>
            </w:r>
          </w:p>
        </w:tc>
        <w:tc>
          <w:tcPr>
            <w:tcW w:w="1144" w:type="dxa"/>
            <w:vAlign w:val="center"/>
          </w:tcPr>
          <w:p>
            <w:pPr>
              <w:pStyle w:val="0"/>
              <w:jc w:val="center"/>
            </w:pPr>
            <w:r>
              <w:rPr>
                <w:sz w:val="20"/>
              </w:rPr>
              <w:t xml:space="preserve">58358,00</w:t>
            </w:r>
          </w:p>
        </w:tc>
        <w:tc>
          <w:tcPr>
            <w:tcW w:w="844" w:type="dxa"/>
            <w:vAlign w:val="center"/>
          </w:tcPr>
          <w:p>
            <w:pPr>
              <w:pStyle w:val="0"/>
              <w:jc w:val="center"/>
            </w:pPr>
            <w:r>
              <w:rPr>
                <w:sz w:val="20"/>
              </w:rPr>
              <w:t xml:space="preserve">69375</w:t>
            </w:r>
          </w:p>
        </w:tc>
        <w:tc>
          <w:tcPr>
            <w:tcW w:w="1144" w:type="dxa"/>
            <w:vAlign w:val="center"/>
          </w:tcPr>
          <w:p>
            <w:pPr>
              <w:pStyle w:val="0"/>
              <w:jc w:val="center"/>
            </w:pPr>
            <w:r>
              <w:rPr>
                <w:sz w:val="20"/>
              </w:rPr>
              <w:t xml:space="preserve">92450</w:t>
            </w:r>
          </w:p>
        </w:tc>
        <w:tc>
          <w:tcPr>
            <w:tcW w:w="1024" w:type="dxa"/>
            <w:vAlign w:val="center"/>
          </w:tcPr>
          <w:p>
            <w:pPr>
              <w:pStyle w:val="0"/>
              <w:jc w:val="center"/>
            </w:pPr>
            <w:r>
              <w:rPr>
                <w:sz w:val="20"/>
              </w:rPr>
              <w:t xml:space="preserve">94981,9</w:t>
            </w:r>
          </w:p>
        </w:tc>
        <w:tc>
          <w:tcPr>
            <w:tcW w:w="1024" w:type="dxa"/>
            <w:vAlign w:val="center"/>
          </w:tcPr>
          <w:p>
            <w:pPr>
              <w:pStyle w:val="0"/>
              <w:jc w:val="center"/>
            </w:pPr>
            <w:r>
              <w:rPr>
                <w:sz w:val="20"/>
              </w:rPr>
              <w:t xml:space="preserve">84854</w:t>
            </w:r>
          </w:p>
        </w:tc>
        <w:tc>
          <w:tcPr>
            <w:tcW w:w="1264" w:type="dxa"/>
            <w:vAlign w:val="center"/>
          </w:tcPr>
          <w:p>
            <w:pPr>
              <w:pStyle w:val="0"/>
              <w:jc w:val="center"/>
            </w:pPr>
            <w:r>
              <w:rPr>
                <w:sz w:val="20"/>
              </w:rPr>
              <w:t xml:space="preserve">564772,9</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92824</w:t>
            </w:r>
          </w:p>
        </w:tc>
        <w:tc>
          <w:tcPr>
            <w:tcW w:w="844" w:type="dxa"/>
            <w:vAlign w:val="center"/>
          </w:tcPr>
          <w:p>
            <w:pPr>
              <w:pStyle w:val="0"/>
              <w:jc w:val="center"/>
            </w:pPr>
            <w:r>
              <w:rPr>
                <w:sz w:val="20"/>
              </w:rPr>
              <w:t xml:space="preserve">71930</w:t>
            </w:r>
          </w:p>
        </w:tc>
        <w:tc>
          <w:tcPr>
            <w:tcW w:w="1144" w:type="dxa"/>
            <w:vAlign w:val="center"/>
          </w:tcPr>
          <w:p>
            <w:pPr>
              <w:pStyle w:val="0"/>
              <w:jc w:val="center"/>
            </w:pPr>
            <w:r>
              <w:rPr>
                <w:sz w:val="20"/>
              </w:rPr>
              <w:t xml:space="preserve">58358,00</w:t>
            </w:r>
          </w:p>
        </w:tc>
        <w:tc>
          <w:tcPr>
            <w:tcW w:w="844" w:type="dxa"/>
            <w:vAlign w:val="center"/>
          </w:tcPr>
          <w:p>
            <w:pPr>
              <w:pStyle w:val="0"/>
              <w:jc w:val="center"/>
            </w:pPr>
            <w:r>
              <w:rPr>
                <w:sz w:val="20"/>
              </w:rPr>
              <w:t xml:space="preserve">69375</w:t>
            </w:r>
          </w:p>
        </w:tc>
        <w:tc>
          <w:tcPr>
            <w:tcW w:w="1144" w:type="dxa"/>
            <w:vAlign w:val="center"/>
          </w:tcPr>
          <w:p>
            <w:pPr>
              <w:pStyle w:val="0"/>
              <w:jc w:val="center"/>
            </w:pPr>
            <w:r>
              <w:rPr>
                <w:sz w:val="20"/>
              </w:rPr>
              <w:t xml:space="preserve">92450</w:t>
            </w:r>
          </w:p>
        </w:tc>
        <w:tc>
          <w:tcPr>
            <w:tcW w:w="1024" w:type="dxa"/>
            <w:vAlign w:val="center"/>
          </w:tcPr>
          <w:p>
            <w:pPr>
              <w:pStyle w:val="0"/>
              <w:jc w:val="center"/>
            </w:pPr>
            <w:r>
              <w:rPr>
                <w:sz w:val="20"/>
              </w:rPr>
              <w:t xml:space="preserve">94981,9</w:t>
            </w:r>
          </w:p>
        </w:tc>
        <w:tc>
          <w:tcPr>
            <w:tcW w:w="1024" w:type="dxa"/>
            <w:vAlign w:val="center"/>
          </w:tcPr>
          <w:p>
            <w:pPr>
              <w:pStyle w:val="0"/>
              <w:jc w:val="center"/>
            </w:pPr>
            <w:r>
              <w:rPr>
                <w:sz w:val="20"/>
              </w:rPr>
              <w:t xml:space="preserve">84854</w:t>
            </w:r>
          </w:p>
        </w:tc>
        <w:tc>
          <w:tcPr>
            <w:tcW w:w="1264" w:type="dxa"/>
            <w:vAlign w:val="center"/>
          </w:tcPr>
          <w:p>
            <w:pPr>
              <w:pStyle w:val="0"/>
              <w:jc w:val="center"/>
            </w:pPr>
            <w:r>
              <w:rPr>
                <w:sz w:val="20"/>
              </w:rPr>
              <w:t xml:space="preserve">564772,9</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6.2</w:t>
            </w:r>
          </w:p>
        </w:tc>
        <w:tc>
          <w:tcPr>
            <w:tcW w:w="2314" w:type="dxa"/>
            <w:vAlign w:val="center"/>
            <w:vMerge w:val="restart"/>
          </w:tcPr>
          <w:p>
            <w:pPr>
              <w:pStyle w:val="0"/>
              <w:jc w:val="center"/>
            </w:pPr>
            <w:r>
              <w:rPr>
                <w:sz w:val="20"/>
              </w:rPr>
              <w:t xml:space="preserve">Субвенции на осуществление отдельных государственных полномочий по рассмотрению дел об административных правонарушениях</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t xml:space="preserve">10417</w:t>
            </w:r>
          </w:p>
        </w:tc>
        <w:tc>
          <w:tcPr>
            <w:tcW w:w="844" w:type="dxa"/>
            <w:vAlign w:val="center"/>
          </w:tcPr>
          <w:p>
            <w:pPr>
              <w:pStyle w:val="0"/>
              <w:jc w:val="center"/>
            </w:pPr>
            <w:r>
              <w:rPr>
                <w:sz w:val="20"/>
              </w:rPr>
              <w:t xml:space="preserve">16855</w:t>
            </w:r>
          </w:p>
        </w:tc>
        <w:tc>
          <w:tcPr>
            <w:tcW w:w="1144" w:type="dxa"/>
            <w:vAlign w:val="center"/>
          </w:tcPr>
          <w:p>
            <w:pPr>
              <w:pStyle w:val="0"/>
              <w:jc w:val="center"/>
            </w:pPr>
            <w:r>
              <w:rPr>
                <w:sz w:val="20"/>
              </w:rPr>
              <w:t xml:space="preserve">10746,00</w:t>
            </w:r>
          </w:p>
        </w:tc>
        <w:tc>
          <w:tcPr>
            <w:tcW w:w="844" w:type="dxa"/>
            <w:vAlign w:val="center"/>
          </w:tcPr>
          <w:p>
            <w:pPr>
              <w:pStyle w:val="0"/>
              <w:jc w:val="center"/>
            </w:pPr>
            <w:r>
              <w:rPr>
                <w:sz w:val="20"/>
              </w:rPr>
              <w:t xml:space="preserve">10746</w:t>
            </w:r>
          </w:p>
        </w:tc>
        <w:tc>
          <w:tcPr>
            <w:tcW w:w="1144" w:type="dxa"/>
            <w:vAlign w:val="center"/>
          </w:tcPr>
          <w:p>
            <w:pPr>
              <w:pStyle w:val="0"/>
              <w:jc w:val="center"/>
            </w:pPr>
            <w:r>
              <w:rPr>
                <w:sz w:val="20"/>
              </w:rPr>
              <w:t xml:space="preserve">15258</w:t>
            </w:r>
          </w:p>
        </w:tc>
        <w:tc>
          <w:tcPr>
            <w:tcW w:w="1024" w:type="dxa"/>
            <w:vAlign w:val="center"/>
          </w:tcPr>
          <w:p>
            <w:pPr>
              <w:pStyle w:val="0"/>
              <w:jc w:val="center"/>
            </w:pPr>
            <w:r>
              <w:rPr>
                <w:sz w:val="20"/>
              </w:rPr>
              <w:t xml:space="preserve">15518,0</w:t>
            </w:r>
          </w:p>
        </w:tc>
        <w:tc>
          <w:tcPr>
            <w:tcW w:w="1024" w:type="dxa"/>
            <w:vAlign w:val="center"/>
          </w:tcPr>
          <w:p>
            <w:pPr>
              <w:pStyle w:val="0"/>
              <w:jc w:val="center"/>
            </w:pPr>
            <w:r>
              <w:rPr>
                <w:sz w:val="20"/>
              </w:rPr>
              <w:t xml:space="preserve">17305,0</w:t>
            </w:r>
          </w:p>
        </w:tc>
        <w:tc>
          <w:tcPr>
            <w:tcW w:w="1264" w:type="dxa"/>
            <w:vAlign w:val="center"/>
          </w:tcPr>
          <w:p>
            <w:pPr>
              <w:pStyle w:val="0"/>
              <w:jc w:val="center"/>
            </w:pPr>
            <w:r>
              <w:rPr>
                <w:sz w:val="20"/>
              </w:rPr>
              <w:t xml:space="preserve">96845,0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t xml:space="preserve">10417</w:t>
            </w:r>
          </w:p>
        </w:tc>
        <w:tc>
          <w:tcPr>
            <w:tcW w:w="844" w:type="dxa"/>
            <w:vAlign w:val="center"/>
          </w:tcPr>
          <w:p>
            <w:pPr>
              <w:pStyle w:val="0"/>
              <w:jc w:val="center"/>
            </w:pPr>
            <w:r>
              <w:rPr>
                <w:sz w:val="20"/>
              </w:rPr>
              <w:t xml:space="preserve">16855</w:t>
            </w:r>
          </w:p>
        </w:tc>
        <w:tc>
          <w:tcPr>
            <w:tcW w:w="1144" w:type="dxa"/>
            <w:vAlign w:val="center"/>
          </w:tcPr>
          <w:p>
            <w:pPr>
              <w:pStyle w:val="0"/>
              <w:jc w:val="center"/>
            </w:pPr>
            <w:r>
              <w:rPr>
                <w:sz w:val="20"/>
              </w:rPr>
              <w:t xml:space="preserve">10746,00</w:t>
            </w:r>
          </w:p>
        </w:tc>
        <w:tc>
          <w:tcPr>
            <w:tcW w:w="844" w:type="dxa"/>
            <w:vAlign w:val="center"/>
          </w:tcPr>
          <w:p>
            <w:pPr>
              <w:pStyle w:val="0"/>
              <w:jc w:val="center"/>
            </w:pPr>
            <w:r>
              <w:rPr>
                <w:sz w:val="20"/>
              </w:rPr>
              <w:t xml:space="preserve">10746</w:t>
            </w:r>
          </w:p>
        </w:tc>
        <w:tc>
          <w:tcPr>
            <w:tcW w:w="1144" w:type="dxa"/>
            <w:vAlign w:val="center"/>
          </w:tcPr>
          <w:p>
            <w:pPr>
              <w:pStyle w:val="0"/>
              <w:jc w:val="center"/>
            </w:pPr>
            <w:r>
              <w:rPr>
                <w:sz w:val="20"/>
              </w:rPr>
              <w:t xml:space="preserve">15258</w:t>
            </w:r>
          </w:p>
        </w:tc>
        <w:tc>
          <w:tcPr>
            <w:tcW w:w="1024" w:type="dxa"/>
            <w:vAlign w:val="center"/>
          </w:tcPr>
          <w:p>
            <w:pPr>
              <w:pStyle w:val="0"/>
              <w:jc w:val="center"/>
            </w:pPr>
            <w:r>
              <w:rPr>
                <w:sz w:val="20"/>
              </w:rPr>
              <w:t xml:space="preserve">15518,0</w:t>
            </w:r>
          </w:p>
        </w:tc>
        <w:tc>
          <w:tcPr>
            <w:tcW w:w="1024" w:type="dxa"/>
            <w:vAlign w:val="center"/>
          </w:tcPr>
          <w:p>
            <w:pPr>
              <w:pStyle w:val="0"/>
              <w:jc w:val="center"/>
            </w:pPr>
            <w:r>
              <w:rPr>
                <w:sz w:val="20"/>
              </w:rPr>
              <w:t xml:space="preserve">17305,0</w:t>
            </w:r>
          </w:p>
        </w:tc>
        <w:tc>
          <w:tcPr>
            <w:tcW w:w="1264" w:type="dxa"/>
            <w:vAlign w:val="center"/>
          </w:tcPr>
          <w:p>
            <w:pPr>
              <w:pStyle w:val="0"/>
              <w:jc w:val="center"/>
            </w:pPr>
            <w:r>
              <w:rPr>
                <w:sz w:val="20"/>
              </w:rPr>
              <w:t xml:space="preserve">96845,0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7</w:t>
            </w:r>
          </w:p>
        </w:tc>
        <w:tc>
          <w:tcPr>
            <w:tcW w:w="2314" w:type="dxa"/>
            <w:vAlign w:val="center"/>
            <w:vMerge w:val="restart"/>
          </w:tcPr>
          <w:p>
            <w:pPr>
              <w:pStyle w:val="0"/>
              <w:jc w:val="center"/>
            </w:pPr>
            <w:r>
              <w:rPr>
                <w:sz w:val="20"/>
              </w:rPr>
              <w:t xml:space="preserve">Обращение с твердыми коммунальными отходами на территории Белгородской области</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66399</w:t>
            </w:r>
          </w:p>
        </w:tc>
        <w:tc>
          <w:tcPr>
            <w:tcW w:w="1024" w:type="dxa"/>
            <w:vAlign w:val="center"/>
          </w:tcPr>
          <w:p>
            <w:pPr>
              <w:pStyle w:val="0"/>
              <w:jc w:val="center"/>
            </w:pPr>
            <w:r>
              <w:rPr>
                <w:sz w:val="20"/>
              </w:rPr>
              <w:t xml:space="preserve">377120,0</w:t>
            </w:r>
          </w:p>
        </w:tc>
        <w:tc>
          <w:tcPr>
            <w:tcW w:w="1024" w:type="dxa"/>
            <w:vAlign w:val="center"/>
          </w:tcPr>
          <w:p>
            <w:pPr>
              <w:pStyle w:val="0"/>
              <w:jc w:val="center"/>
            </w:pPr>
            <w:r>
              <w:rPr>
                <w:sz w:val="20"/>
              </w:rPr>
              <w:t xml:space="preserve">478258,1</w:t>
            </w:r>
          </w:p>
        </w:tc>
        <w:tc>
          <w:tcPr>
            <w:tcW w:w="1264" w:type="dxa"/>
            <w:vAlign w:val="center"/>
          </w:tcPr>
          <w:p>
            <w:pPr>
              <w:pStyle w:val="0"/>
              <w:jc w:val="center"/>
            </w:pPr>
            <w:r>
              <w:rPr>
                <w:sz w:val="20"/>
              </w:rPr>
              <w:t xml:space="preserve">921777,1</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111059,7</w:t>
            </w:r>
          </w:p>
        </w:tc>
        <w:tc>
          <w:tcPr>
            <w:tcW w:w="1264" w:type="dxa"/>
            <w:vAlign w:val="center"/>
          </w:tcPr>
          <w:p>
            <w:pPr>
              <w:pStyle w:val="0"/>
              <w:jc w:val="center"/>
            </w:pPr>
            <w:r>
              <w:rPr>
                <w:sz w:val="20"/>
              </w:rPr>
              <w:t xml:space="preserve">111059,7</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5000</w:t>
            </w:r>
          </w:p>
        </w:tc>
        <w:tc>
          <w:tcPr>
            <w:tcW w:w="1024" w:type="dxa"/>
            <w:vAlign w:val="center"/>
          </w:tcPr>
          <w:p>
            <w:pPr>
              <w:pStyle w:val="0"/>
              <w:jc w:val="center"/>
            </w:pPr>
            <w:r>
              <w:rPr>
                <w:sz w:val="20"/>
              </w:rPr>
              <w:t xml:space="preserve">25564,0</w:t>
            </w:r>
          </w:p>
        </w:tc>
        <w:tc>
          <w:tcPr>
            <w:tcW w:w="1024" w:type="dxa"/>
            <w:vAlign w:val="center"/>
          </w:tcPr>
          <w:p>
            <w:pPr>
              <w:pStyle w:val="0"/>
              <w:jc w:val="center"/>
            </w:pPr>
            <w:r>
              <w:rPr>
                <w:sz w:val="20"/>
              </w:rPr>
              <w:t xml:space="preserve">63726,4</w:t>
            </w:r>
          </w:p>
        </w:tc>
        <w:tc>
          <w:tcPr>
            <w:tcW w:w="1264" w:type="dxa"/>
            <w:vAlign w:val="center"/>
          </w:tcPr>
          <w:p>
            <w:pPr>
              <w:pStyle w:val="0"/>
              <w:jc w:val="center"/>
            </w:pPr>
            <w:r>
              <w:rPr>
                <w:sz w:val="20"/>
              </w:rPr>
              <w:t xml:space="preserve">94290,4</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t xml:space="preserve">4436,0</w:t>
            </w:r>
          </w:p>
        </w:tc>
        <w:tc>
          <w:tcPr>
            <w:tcW w:w="1024" w:type="dxa"/>
            <w:vAlign w:val="center"/>
          </w:tcPr>
          <w:p>
            <w:pPr>
              <w:pStyle w:val="0"/>
              <w:jc w:val="center"/>
            </w:pPr>
            <w:r>
              <w:rPr>
                <w:sz w:val="20"/>
              </w:rPr>
              <w:t xml:space="preserve">4835,9</w:t>
            </w:r>
          </w:p>
        </w:tc>
        <w:tc>
          <w:tcPr>
            <w:tcW w:w="1264" w:type="dxa"/>
            <w:vAlign w:val="center"/>
          </w:tcPr>
          <w:p>
            <w:pPr>
              <w:pStyle w:val="0"/>
              <w:jc w:val="center"/>
            </w:pPr>
            <w:r>
              <w:rPr>
                <w:sz w:val="20"/>
              </w:rPr>
              <w:t xml:space="preserve">9271,9</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61399</w:t>
            </w:r>
          </w:p>
        </w:tc>
        <w:tc>
          <w:tcPr>
            <w:tcW w:w="1024" w:type="dxa"/>
            <w:vAlign w:val="center"/>
          </w:tcPr>
          <w:p>
            <w:pPr>
              <w:pStyle w:val="0"/>
              <w:jc w:val="center"/>
            </w:pPr>
            <w:r>
              <w:rPr>
                <w:sz w:val="20"/>
              </w:rPr>
              <w:t xml:space="preserve">347120,0</w:t>
            </w:r>
          </w:p>
        </w:tc>
        <w:tc>
          <w:tcPr>
            <w:tcW w:w="1024" w:type="dxa"/>
            <w:vAlign w:val="center"/>
          </w:tcPr>
          <w:p>
            <w:pPr>
              <w:pStyle w:val="0"/>
              <w:jc w:val="center"/>
            </w:pPr>
            <w:r>
              <w:rPr>
                <w:sz w:val="20"/>
              </w:rPr>
              <w:t xml:space="preserve">298636,1</w:t>
            </w:r>
          </w:p>
        </w:tc>
        <w:tc>
          <w:tcPr>
            <w:tcW w:w="1264" w:type="dxa"/>
            <w:vAlign w:val="center"/>
          </w:tcPr>
          <w:p>
            <w:pPr>
              <w:pStyle w:val="0"/>
              <w:jc w:val="center"/>
            </w:pPr>
            <w:r>
              <w:rPr>
                <w:sz w:val="20"/>
              </w:rPr>
              <w:t xml:space="preserve">707155,1</w:t>
            </w:r>
          </w:p>
        </w:tc>
      </w:tr>
      <w:tr>
        <w:tc>
          <w:tcPr>
            <w:tcW w:w="1849" w:type="dxa"/>
            <w:vAlign w:val="center"/>
            <w:vMerge w:val="restart"/>
          </w:tcPr>
          <w:p>
            <w:pPr>
              <w:pStyle w:val="0"/>
              <w:jc w:val="center"/>
            </w:pPr>
            <w:r>
              <w:rPr>
                <w:sz w:val="20"/>
              </w:rPr>
              <w:t xml:space="preserve">Основное мероприятие 7.1</w:t>
            </w:r>
          </w:p>
        </w:tc>
        <w:tc>
          <w:tcPr>
            <w:tcW w:w="2314" w:type="dxa"/>
            <w:vAlign w:val="center"/>
            <w:vMerge w:val="restart"/>
          </w:tcPr>
          <w:p>
            <w:pPr>
              <w:pStyle w:val="0"/>
              <w:jc w:val="center"/>
            </w:pPr>
            <w:r>
              <w:rPr>
                <w:sz w:val="20"/>
              </w:rPr>
              <w:t xml:space="preserve">Создание эффективных механизмов управления в отрасли обращения с твердыми коммунальными отходами</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61399</w:t>
            </w:r>
          </w:p>
        </w:tc>
        <w:tc>
          <w:tcPr>
            <w:tcW w:w="1024" w:type="dxa"/>
            <w:vAlign w:val="center"/>
          </w:tcPr>
          <w:p>
            <w:pPr>
              <w:pStyle w:val="0"/>
              <w:jc w:val="center"/>
            </w:pPr>
            <w:r>
              <w:rPr>
                <w:sz w:val="20"/>
              </w:rPr>
              <w:t xml:space="preserve">372120</w:t>
            </w:r>
          </w:p>
        </w:tc>
        <w:tc>
          <w:tcPr>
            <w:tcW w:w="1024" w:type="dxa"/>
            <w:vAlign w:val="center"/>
          </w:tcPr>
          <w:p>
            <w:pPr>
              <w:pStyle w:val="0"/>
              <w:jc w:val="center"/>
            </w:pPr>
            <w:r>
              <w:rPr>
                <w:sz w:val="20"/>
              </w:rPr>
              <w:t xml:space="preserve">330836,8</w:t>
            </w:r>
          </w:p>
        </w:tc>
        <w:tc>
          <w:tcPr>
            <w:tcW w:w="1264" w:type="dxa"/>
            <w:vAlign w:val="center"/>
          </w:tcPr>
          <w:p>
            <w:pPr>
              <w:pStyle w:val="0"/>
              <w:jc w:val="center"/>
            </w:pPr>
            <w:r>
              <w:rPr>
                <w:sz w:val="20"/>
              </w:rPr>
              <w:t xml:space="preserve">764355,8</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t xml:space="preserve">20564,0</w:t>
            </w:r>
          </w:p>
        </w:tc>
        <w:tc>
          <w:tcPr>
            <w:tcW w:w="1024" w:type="dxa"/>
            <w:vAlign w:val="center"/>
          </w:tcPr>
          <w:p>
            <w:pPr>
              <w:pStyle w:val="0"/>
              <w:jc w:val="center"/>
            </w:pPr>
            <w:r>
              <w:rPr>
                <w:sz w:val="20"/>
              </w:rPr>
              <w:t xml:space="preserve">30537,4</w:t>
            </w:r>
          </w:p>
        </w:tc>
        <w:tc>
          <w:tcPr>
            <w:tcW w:w="1264" w:type="dxa"/>
            <w:vAlign w:val="center"/>
          </w:tcPr>
          <w:p>
            <w:pPr>
              <w:pStyle w:val="0"/>
              <w:jc w:val="center"/>
            </w:pPr>
            <w:r>
              <w:rPr>
                <w:sz w:val="20"/>
              </w:rPr>
              <w:t xml:space="preserve">51101,4</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t xml:space="preserve">4436,0</w:t>
            </w:r>
          </w:p>
        </w:tc>
        <w:tc>
          <w:tcPr>
            <w:tcW w:w="1024" w:type="dxa"/>
            <w:vAlign w:val="center"/>
          </w:tcPr>
          <w:p>
            <w:pPr>
              <w:pStyle w:val="0"/>
              <w:jc w:val="center"/>
            </w:pPr>
            <w:r>
              <w:rPr>
                <w:sz w:val="20"/>
              </w:rPr>
              <w:t xml:space="preserve">1663,3</w:t>
            </w:r>
          </w:p>
        </w:tc>
        <w:tc>
          <w:tcPr>
            <w:tcW w:w="1264" w:type="dxa"/>
            <w:vAlign w:val="center"/>
          </w:tcPr>
          <w:p>
            <w:pPr>
              <w:pStyle w:val="0"/>
              <w:jc w:val="center"/>
            </w:pPr>
            <w:r>
              <w:rPr>
                <w:sz w:val="20"/>
              </w:rPr>
              <w:t xml:space="preserve">6099,3</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61399</w:t>
            </w:r>
          </w:p>
        </w:tc>
        <w:tc>
          <w:tcPr>
            <w:tcW w:w="1024" w:type="dxa"/>
            <w:vAlign w:val="center"/>
          </w:tcPr>
          <w:p>
            <w:pPr>
              <w:pStyle w:val="0"/>
              <w:jc w:val="center"/>
            </w:pPr>
            <w:r>
              <w:rPr>
                <w:sz w:val="20"/>
              </w:rPr>
              <w:t xml:space="preserve">347120,0</w:t>
            </w:r>
          </w:p>
        </w:tc>
        <w:tc>
          <w:tcPr>
            <w:tcW w:w="1024" w:type="dxa"/>
            <w:vAlign w:val="center"/>
          </w:tcPr>
          <w:p>
            <w:pPr>
              <w:pStyle w:val="0"/>
              <w:jc w:val="center"/>
            </w:pPr>
            <w:r>
              <w:rPr>
                <w:sz w:val="20"/>
              </w:rPr>
              <w:t xml:space="preserve">298636,1</w:t>
            </w:r>
          </w:p>
        </w:tc>
        <w:tc>
          <w:tcPr>
            <w:tcW w:w="1264" w:type="dxa"/>
            <w:vAlign w:val="center"/>
          </w:tcPr>
          <w:p>
            <w:pPr>
              <w:pStyle w:val="0"/>
              <w:jc w:val="center"/>
            </w:pPr>
            <w:r>
              <w:rPr>
                <w:sz w:val="20"/>
              </w:rPr>
              <w:t xml:space="preserve">707155,1</w:t>
            </w:r>
          </w:p>
        </w:tc>
      </w:tr>
      <w:tr>
        <w:tc>
          <w:tcPr>
            <w:tcW w:w="1849" w:type="dxa"/>
            <w:vAlign w:val="center"/>
            <w:vMerge w:val="restart"/>
          </w:tcPr>
          <w:p>
            <w:pPr>
              <w:pStyle w:val="0"/>
              <w:jc w:val="center"/>
            </w:pPr>
            <w:r>
              <w:rPr>
                <w:sz w:val="20"/>
              </w:rPr>
              <w:t xml:space="preserve">Основное мероприятие 7.2</w:t>
            </w:r>
          </w:p>
        </w:tc>
        <w:tc>
          <w:tcPr>
            <w:tcW w:w="2314" w:type="dxa"/>
            <w:vAlign w:val="center"/>
            <w:vMerge w:val="restart"/>
          </w:tcPr>
          <w:p>
            <w:pPr>
              <w:pStyle w:val="0"/>
              <w:jc w:val="center"/>
            </w:pPr>
            <w:r>
              <w:rPr>
                <w:sz w:val="20"/>
              </w:rPr>
              <w:t xml:space="preserve">Разработка электронной модели территориальной схемы по обращению с отходами</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5000</w:t>
            </w:r>
          </w:p>
        </w:tc>
        <w:tc>
          <w:tcPr>
            <w:tcW w:w="1024" w:type="dxa"/>
            <w:vAlign w:val="center"/>
          </w:tcPr>
          <w:p>
            <w:pPr>
              <w:pStyle w:val="0"/>
              <w:jc w:val="center"/>
            </w:pPr>
            <w:r>
              <w:rPr>
                <w:sz w:val="20"/>
              </w:rPr>
              <w:t xml:space="preserve">5000,0</w:t>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10000,0</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t xml:space="preserve">5000</w:t>
            </w:r>
          </w:p>
        </w:tc>
        <w:tc>
          <w:tcPr>
            <w:tcW w:w="1024" w:type="dxa"/>
            <w:vAlign w:val="center"/>
          </w:tcPr>
          <w:p>
            <w:pPr>
              <w:pStyle w:val="0"/>
              <w:jc w:val="center"/>
            </w:pPr>
            <w:r>
              <w:rPr>
                <w:sz w:val="20"/>
              </w:rPr>
              <w:t xml:space="preserve">5000,0</w:t>
            </w:r>
          </w:p>
        </w:tc>
        <w:tc>
          <w:tcPr>
            <w:tcW w:w="1024" w:type="dxa"/>
            <w:vAlign w:val="center"/>
          </w:tcPr>
          <w:p>
            <w:pPr>
              <w:pStyle w:val="0"/>
              <w:jc w:val="center"/>
            </w:pPr>
            <w:r>
              <w:rPr>
                <w:sz w:val="20"/>
              </w:rPr>
            </w:r>
          </w:p>
        </w:tc>
        <w:tc>
          <w:tcPr>
            <w:tcW w:w="1264" w:type="dxa"/>
            <w:vAlign w:val="center"/>
          </w:tcPr>
          <w:p>
            <w:pPr>
              <w:pStyle w:val="0"/>
              <w:jc w:val="center"/>
            </w:pPr>
            <w:r>
              <w:rPr>
                <w:sz w:val="20"/>
              </w:rPr>
              <w:t xml:space="preserve">10000,0</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7.3</w:t>
            </w:r>
          </w:p>
        </w:tc>
        <w:tc>
          <w:tcPr>
            <w:tcW w:w="2314" w:type="dxa"/>
            <w:vAlign w:val="center"/>
            <w:vMerge w:val="restart"/>
          </w:tcPr>
          <w:p>
            <w:pPr>
              <w:pStyle w:val="0"/>
              <w:jc w:val="center"/>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31720,5</w:t>
            </w:r>
          </w:p>
        </w:tc>
        <w:tc>
          <w:tcPr>
            <w:tcW w:w="1264" w:type="dxa"/>
            <w:vAlign w:val="center"/>
          </w:tcPr>
          <w:p>
            <w:pPr>
              <w:pStyle w:val="0"/>
              <w:jc w:val="center"/>
            </w:pPr>
            <w:r>
              <w:rPr>
                <w:sz w:val="20"/>
              </w:rPr>
              <w:t xml:space="preserve">31720,5</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28547,9</w:t>
            </w:r>
          </w:p>
        </w:tc>
        <w:tc>
          <w:tcPr>
            <w:tcW w:w="1264" w:type="dxa"/>
            <w:vAlign w:val="center"/>
          </w:tcPr>
          <w:p>
            <w:pPr>
              <w:pStyle w:val="0"/>
              <w:jc w:val="center"/>
            </w:pPr>
            <w:r>
              <w:rPr>
                <w:sz w:val="20"/>
              </w:rPr>
              <w:t xml:space="preserve">28547,9</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3172,6</w:t>
            </w:r>
          </w:p>
        </w:tc>
        <w:tc>
          <w:tcPr>
            <w:tcW w:w="1264" w:type="dxa"/>
            <w:vAlign w:val="center"/>
          </w:tcPr>
          <w:p>
            <w:pPr>
              <w:pStyle w:val="0"/>
              <w:jc w:val="center"/>
            </w:pPr>
            <w:r>
              <w:rPr>
                <w:sz w:val="20"/>
              </w:rPr>
              <w:t xml:space="preserve">3172,6</w:t>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Проект 7.G2</w:t>
            </w:r>
          </w:p>
        </w:tc>
        <w:tc>
          <w:tcPr>
            <w:tcW w:w="2314" w:type="dxa"/>
            <w:vAlign w:val="center"/>
            <w:vMerge w:val="restart"/>
          </w:tcPr>
          <w:p>
            <w:pPr>
              <w:pStyle w:val="0"/>
              <w:jc w:val="center"/>
            </w:pPr>
            <w:r>
              <w:rPr>
                <w:sz w:val="20"/>
              </w:rPr>
              <w:t xml:space="preserve">Комплексная система обращения с твердыми коммунальными отходами</w:t>
            </w:r>
          </w:p>
        </w:tc>
        <w:tc>
          <w:tcPr>
            <w:tcW w:w="2224" w:type="dxa"/>
            <w:vAlign w:val="center"/>
          </w:tcPr>
          <w:p>
            <w:pPr>
              <w:pStyle w:val="0"/>
              <w:jc w:val="center"/>
            </w:pPr>
            <w:r>
              <w:rPr>
                <w:sz w:val="20"/>
              </w:rPr>
              <w:t xml:space="preserve">Всего</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115700,8</w:t>
            </w:r>
          </w:p>
        </w:tc>
        <w:tc>
          <w:tcPr>
            <w:tcW w:w="1264" w:type="dxa"/>
            <w:vAlign w:val="center"/>
          </w:tcPr>
          <w:p>
            <w:pPr>
              <w:pStyle w:val="0"/>
              <w:jc w:val="center"/>
            </w:pPr>
            <w:r>
              <w:rPr>
                <w:sz w:val="20"/>
              </w:rPr>
              <w:t xml:space="preserve">115700,8</w:t>
            </w:r>
          </w:p>
        </w:tc>
      </w:tr>
      <w:tr>
        <w:tc>
          <w:tcPr>
            <w:vMerge w:val="continue"/>
          </w:tcPr>
          <w:p/>
        </w:tc>
        <w:tc>
          <w:tcPr>
            <w:vMerge w:val="continue"/>
          </w:tcPr>
          <w:p/>
        </w:tc>
        <w:tc>
          <w:tcPr>
            <w:tcW w:w="2224" w:type="dxa"/>
            <w:vAlign w:val="center"/>
          </w:tcPr>
          <w:p>
            <w:pPr>
              <w:pStyle w:val="0"/>
              <w:jc w:val="center"/>
            </w:pPr>
            <w:r>
              <w:rPr>
                <w:sz w:val="20"/>
              </w:rPr>
              <w:t xml:space="preserve">федеральный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111059,7</w:t>
            </w:r>
          </w:p>
        </w:tc>
        <w:tc>
          <w:tcPr>
            <w:tcW w:w="1264" w:type="dxa"/>
            <w:vAlign w:val="center"/>
          </w:tcPr>
          <w:p>
            <w:pPr>
              <w:pStyle w:val="0"/>
              <w:jc w:val="center"/>
            </w:pPr>
            <w:r>
              <w:rPr>
                <w:sz w:val="20"/>
              </w:rPr>
              <w:t xml:space="preserve">111059,7</w:t>
            </w:r>
          </w:p>
        </w:tc>
      </w:tr>
      <w:tr>
        <w:tc>
          <w:tcPr>
            <w:vMerge w:val="continue"/>
          </w:tcPr>
          <w:p/>
        </w:tc>
        <w:tc>
          <w:tcPr>
            <w:vMerge w:val="continue"/>
          </w:tcPr>
          <w:p/>
        </w:tc>
        <w:tc>
          <w:tcPr>
            <w:tcW w:w="2224" w:type="dxa"/>
            <w:vAlign w:val="center"/>
          </w:tcPr>
          <w:p>
            <w:pPr>
              <w:pStyle w:val="0"/>
              <w:jc w:val="center"/>
            </w:pPr>
            <w:r>
              <w:rPr>
                <w:sz w:val="20"/>
              </w:rPr>
              <w:t xml:space="preserve">областной бюджет</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4641,1</w:t>
            </w:r>
          </w:p>
        </w:tc>
        <w:tc>
          <w:tcPr>
            <w:tcW w:w="1264" w:type="dxa"/>
            <w:vAlign w:val="center"/>
          </w:tcPr>
          <w:p>
            <w:pPr>
              <w:pStyle w:val="0"/>
              <w:jc w:val="center"/>
            </w:pPr>
            <w:r>
              <w:rPr>
                <w:sz w:val="20"/>
              </w:rPr>
              <w:t xml:space="preserve">4641,1</w:t>
            </w:r>
          </w:p>
        </w:tc>
      </w:tr>
      <w:tr>
        <w:tc>
          <w:tcPr>
            <w:vMerge w:val="continue"/>
          </w:tcPr>
          <w:p/>
        </w:tc>
        <w:tc>
          <w:tcPr>
            <w:vMerge w:val="continue"/>
          </w:tcPr>
          <w:p/>
        </w:tc>
        <w:tc>
          <w:tcPr>
            <w:tcW w:w="2224" w:type="dxa"/>
            <w:vAlign w:val="center"/>
          </w:tcPr>
          <w:p>
            <w:pPr>
              <w:pStyle w:val="0"/>
              <w:jc w:val="center"/>
            </w:pPr>
            <w:r>
              <w:rPr>
                <w:sz w:val="20"/>
              </w:rPr>
              <w:t xml:space="preserve">консолидированные бюджеты муниципальных образований</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территориальные внебюджетные фонды</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r>
        <w:tc>
          <w:tcPr>
            <w:vMerge w:val="continue"/>
          </w:tcPr>
          <w:p/>
        </w:tc>
        <w:tc>
          <w:tcPr>
            <w:vMerge w:val="continue"/>
          </w:tcPr>
          <w:p/>
        </w:tc>
        <w:tc>
          <w:tcPr>
            <w:tcW w:w="2224" w:type="dxa"/>
            <w:vAlign w:val="center"/>
          </w:tcPr>
          <w:p>
            <w:pPr>
              <w:pStyle w:val="0"/>
              <w:jc w:val="center"/>
            </w:pPr>
            <w:r>
              <w:rPr>
                <w:sz w:val="20"/>
              </w:rPr>
              <w:t xml:space="preserve">иные источники</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8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264" w:type="dxa"/>
            <w:vAlign w:val="center"/>
          </w:tcPr>
          <w:p>
            <w:pPr>
              <w:pStyle w:val="0"/>
              <w:jc w:val="center"/>
            </w:pPr>
            <w:r>
              <w:rPr>
                <w:sz w:val="20"/>
              </w:rPr>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jc w:val="center"/>
      </w:pPr>
      <w:r>
        <w:rPr>
          <w:sz w:val="20"/>
        </w:rPr>
      </w:r>
    </w:p>
    <w:p>
      <w:pPr>
        <w:pStyle w:val="2"/>
        <w:outlineLvl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основных мероприятий (мероприятий)</w:t>
      </w:r>
    </w:p>
    <w:p>
      <w:pPr>
        <w:pStyle w:val="2"/>
        <w:jc w:val="center"/>
      </w:pPr>
      <w:r>
        <w:rPr>
          <w:sz w:val="20"/>
        </w:rPr>
        <w:t xml:space="preserve">государственной программы области из различных источников</w:t>
      </w:r>
    </w:p>
    <w:p>
      <w:pPr>
        <w:pStyle w:val="2"/>
        <w:jc w:val="center"/>
      </w:pPr>
      <w:r>
        <w:rPr>
          <w:sz w:val="20"/>
        </w:rPr>
        <w:t xml:space="preserve">финансирования на 2 этапе реализации</w:t>
      </w:r>
    </w:p>
    <w:p>
      <w:pPr>
        <w:pStyle w:val="0"/>
        <w:jc w:val="center"/>
      </w:pPr>
      <w:r>
        <w:rPr>
          <w:sz w:val="20"/>
        </w:rPr>
        <w:t xml:space="preserve">(в ред. </w:t>
      </w:r>
      <w:hyperlink w:history="0" r:id="rId204"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right"/>
      </w:pPr>
      <w:r>
        <w:rPr>
          <w:sz w:val="20"/>
        </w:rPr>
      </w:r>
    </w:p>
    <w:p>
      <w:pPr>
        <w:pStyle w:val="0"/>
        <w:jc w:val="right"/>
      </w:pPr>
      <w:r>
        <w:rPr>
          <w:sz w:val="20"/>
        </w:rPr>
        <w:t xml:space="preserve">Таблица 2</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778"/>
        <w:gridCol w:w="2224"/>
        <w:gridCol w:w="1909"/>
        <w:gridCol w:w="1144"/>
        <w:gridCol w:w="1144"/>
        <w:gridCol w:w="1144"/>
        <w:gridCol w:w="1144"/>
        <w:gridCol w:w="1024"/>
        <w:gridCol w:w="1144"/>
      </w:tblGrid>
      <w:tr>
        <w:tc>
          <w:tcPr>
            <w:tcW w:w="1849" w:type="dxa"/>
            <w:vMerge w:val="restart"/>
          </w:tcPr>
          <w:p>
            <w:pPr>
              <w:pStyle w:val="0"/>
              <w:jc w:val="center"/>
            </w:pPr>
            <w:r>
              <w:rPr>
                <w:sz w:val="20"/>
              </w:rPr>
              <w:t xml:space="preserve">Статус</w:t>
            </w:r>
          </w:p>
        </w:tc>
        <w:tc>
          <w:tcPr>
            <w:tcW w:w="2778"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224" w:type="dxa"/>
            <w:vMerge w:val="restart"/>
          </w:tcPr>
          <w:p>
            <w:pPr>
              <w:pStyle w:val="0"/>
              <w:jc w:val="center"/>
            </w:pPr>
            <w:r>
              <w:rPr>
                <w:sz w:val="20"/>
              </w:rPr>
              <w:t xml:space="preserve">Источники финансирования</w:t>
            </w:r>
          </w:p>
        </w:tc>
        <w:tc>
          <w:tcPr>
            <w:tcW w:w="1909" w:type="dxa"/>
            <w:vMerge w:val="restart"/>
          </w:tcPr>
          <w:p>
            <w:pPr>
              <w:pStyle w:val="0"/>
              <w:jc w:val="center"/>
            </w:pPr>
            <w:r>
              <w:rPr>
                <w:sz w:val="20"/>
              </w:rPr>
              <w:t xml:space="preserve">Общий объем финансирования, тыс. рублей</w:t>
            </w:r>
          </w:p>
        </w:tc>
        <w:tc>
          <w:tcPr>
            <w:gridSpan w:val="5"/>
            <w:tcW w:w="5600" w:type="dxa"/>
          </w:tcPr>
          <w:p>
            <w:pPr>
              <w:pStyle w:val="0"/>
              <w:jc w:val="center"/>
            </w:pPr>
            <w:r>
              <w:rPr>
                <w:sz w:val="20"/>
              </w:rPr>
              <w:t xml:space="preserve">Расходы (тыс. рублей), годы</w:t>
            </w:r>
          </w:p>
        </w:tc>
        <w:tc>
          <w:tcPr>
            <w:tcW w:w="1144" w:type="dxa"/>
            <w:vMerge w:val="restart"/>
          </w:tcPr>
          <w:p>
            <w:pPr>
              <w:pStyle w:val="0"/>
              <w:jc w:val="center"/>
            </w:pPr>
            <w:r>
              <w:rPr>
                <w:sz w:val="20"/>
              </w:rPr>
              <w:t xml:space="preserve">Итого на 2 этапе (2021 - 2025)</w:t>
            </w:r>
          </w:p>
        </w:tc>
      </w:tr>
      <w:tr>
        <w:tc>
          <w:tcPr>
            <w:vMerge w:val="continue"/>
          </w:tcPr>
          <w:p/>
        </w:tc>
        <w:tc>
          <w:tcPr>
            <w:vMerge w:val="continue"/>
          </w:tcPr>
          <w:p/>
        </w:tc>
        <w:tc>
          <w:tcPr>
            <w:vMerge w:val="continue"/>
          </w:tcPr>
          <w:p/>
        </w:tc>
        <w:tc>
          <w:tcPr>
            <w:vMerge w:val="continue"/>
          </w:tcPr>
          <w:p/>
        </w:tc>
        <w:tc>
          <w:tcPr>
            <w:tcW w:w="1144" w:type="dxa"/>
          </w:tcPr>
          <w:p>
            <w:pPr>
              <w:pStyle w:val="0"/>
              <w:jc w:val="center"/>
            </w:pPr>
            <w:r>
              <w:rPr>
                <w:sz w:val="20"/>
              </w:rPr>
              <w:t xml:space="preserve">2021 год</w:t>
            </w:r>
          </w:p>
        </w:tc>
        <w:tc>
          <w:tcPr>
            <w:tcW w:w="1144" w:type="dxa"/>
          </w:tcPr>
          <w:p>
            <w:pPr>
              <w:pStyle w:val="0"/>
              <w:jc w:val="center"/>
            </w:pPr>
            <w:r>
              <w:rPr>
                <w:sz w:val="20"/>
              </w:rPr>
              <w:t xml:space="preserve">2022 год</w:t>
            </w:r>
          </w:p>
        </w:tc>
        <w:tc>
          <w:tcPr>
            <w:tcW w:w="1144" w:type="dxa"/>
          </w:tcPr>
          <w:p>
            <w:pPr>
              <w:pStyle w:val="0"/>
              <w:jc w:val="center"/>
            </w:pPr>
            <w:r>
              <w:rPr>
                <w:sz w:val="20"/>
              </w:rPr>
              <w:t xml:space="preserve">2023 год</w:t>
            </w:r>
          </w:p>
        </w:tc>
        <w:tc>
          <w:tcPr>
            <w:tcW w:w="1144" w:type="dxa"/>
          </w:tcPr>
          <w:p>
            <w:pPr>
              <w:pStyle w:val="0"/>
              <w:jc w:val="center"/>
            </w:pPr>
            <w:r>
              <w:rPr>
                <w:sz w:val="20"/>
              </w:rPr>
              <w:t xml:space="preserve">2024 год</w:t>
            </w:r>
          </w:p>
        </w:tc>
        <w:tc>
          <w:tcPr>
            <w:tcW w:w="1024" w:type="dxa"/>
          </w:tcPr>
          <w:p>
            <w:pPr>
              <w:pStyle w:val="0"/>
              <w:jc w:val="center"/>
            </w:pPr>
            <w:r>
              <w:rPr>
                <w:sz w:val="20"/>
              </w:rPr>
              <w:t xml:space="preserve">2025 год</w:t>
            </w:r>
          </w:p>
        </w:tc>
        <w:tc>
          <w:tcPr>
            <w:vMerge w:val="continue"/>
          </w:tcPr>
          <w:p/>
        </w:tc>
      </w:tr>
      <w:tr>
        <w:tc>
          <w:tcPr>
            <w:tcW w:w="1849" w:type="dxa"/>
          </w:tcPr>
          <w:p>
            <w:pPr>
              <w:pStyle w:val="0"/>
              <w:jc w:val="center"/>
            </w:pPr>
            <w:r>
              <w:rPr>
                <w:sz w:val="20"/>
              </w:rPr>
              <w:t xml:space="preserve">1</w:t>
            </w:r>
          </w:p>
        </w:tc>
        <w:tc>
          <w:tcPr>
            <w:tcW w:w="2778" w:type="dxa"/>
          </w:tcPr>
          <w:p>
            <w:pPr>
              <w:pStyle w:val="0"/>
              <w:jc w:val="center"/>
            </w:pPr>
            <w:r>
              <w:rPr>
                <w:sz w:val="20"/>
              </w:rPr>
              <w:t xml:space="preserve">2</w:t>
            </w:r>
          </w:p>
        </w:tc>
        <w:tc>
          <w:tcPr>
            <w:tcW w:w="2224" w:type="dxa"/>
          </w:tcPr>
          <w:p>
            <w:pPr>
              <w:pStyle w:val="0"/>
              <w:jc w:val="center"/>
            </w:pPr>
            <w:r>
              <w:rPr>
                <w:sz w:val="20"/>
              </w:rPr>
              <w:t xml:space="preserve">3</w:t>
            </w:r>
          </w:p>
        </w:tc>
        <w:tc>
          <w:tcPr>
            <w:tcW w:w="1909" w:type="dxa"/>
          </w:tcPr>
          <w:p>
            <w:pPr>
              <w:pStyle w:val="0"/>
              <w:jc w:val="center"/>
            </w:pPr>
            <w:r>
              <w:rPr>
                <w:sz w:val="20"/>
              </w:rPr>
              <w:t xml:space="preserve">4</w:t>
            </w:r>
          </w:p>
        </w:tc>
        <w:tc>
          <w:tcPr>
            <w:tcW w:w="1144" w:type="dxa"/>
          </w:tcPr>
          <w:p>
            <w:pPr>
              <w:pStyle w:val="0"/>
              <w:jc w:val="center"/>
            </w:pPr>
            <w:r>
              <w:rPr>
                <w:sz w:val="20"/>
              </w:rPr>
              <w:t xml:space="preserve">5</w:t>
            </w:r>
          </w:p>
        </w:tc>
        <w:tc>
          <w:tcPr>
            <w:tcW w:w="1144" w:type="dxa"/>
          </w:tcPr>
          <w:p>
            <w:pPr>
              <w:pStyle w:val="0"/>
              <w:jc w:val="center"/>
            </w:pPr>
            <w:r>
              <w:rPr>
                <w:sz w:val="20"/>
              </w:rPr>
              <w:t xml:space="preserve">6</w:t>
            </w:r>
          </w:p>
        </w:tc>
        <w:tc>
          <w:tcPr>
            <w:tcW w:w="1144" w:type="dxa"/>
          </w:tcPr>
          <w:p>
            <w:pPr>
              <w:pStyle w:val="0"/>
              <w:jc w:val="center"/>
            </w:pPr>
            <w:r>
              <w:rPr>
                <w:sz w:val="20"/>
              </w:rPr>
              <w:t xml:space="preserve">7</w:t>
            </w:r>
          </w:p>
        </w:tc>
        <w:tc>
          <w:tcPr>
            <w:tcW w:w="1144" w:type="dxa"/>
          </w:tcPr>
          <w:p>
            <w:pPr>
              <w:pStyle w:val="0"/>
              <w:jc w:val="center"/>
            </w:pPr>
            <w:r>
              <w:rPr>
                <w:sz w:val="20"/>
              </w:rPr>
              <w:t xml:space="preserve">8</w:t>
            </w:r>
          </w:p>
        </w:tc>
        <w:tc>
          <w:tcPr>
            <w:tcW w:w="1024" w:type="dxa"/>
          </w:tcPr>
          <w:p>
            <w:pPr>
              <w:pStyle w:val="0"/>
              <w:jc w:val="center"/>
            </w:pPr>
            <w:r>
              <w:rPr>
                <w:sz w:val="20"/>
              </w:rPr>
              <w:t xml:space="preserve">9</w:t>
            </w:r>
          </w:p>
        </w:tc>
        <w:tc>
          <w:tcPr>
            <w:tcW w:w="1144" w:type="dxa"/>
          </w:tcPr>
          <w:p>
            <w:pPr>
              <w:pStyle w:val="0"/>
              <w:jc w:val="center"/>
            </w:pPr>
            <w:r>
              <w:rPr>
                <w:sz w:val="20"/>
              </w:rPr>
              <w:t xml:space="preserve">10</w:t>
            </w:r>
          </w:p>
        </w:tc>
      </w:tr>
      <w:tr>
        <w:tc>
          <w:tcPr>
            <w:tcW w:w="1849" w:type="dxa"/>
            <w:vAlign w:val="center"/>
            <w:vMerge w:val="restart"/>
          </w:tcPr>
          <w:p>
            <w:pPr>
              <w:pStyle w:val="0"/>
            </w:pPr>
            <w:r>
              <w:rPr>
                <w:sz w:val="20"/>
              </w:rPr>
              <w:t xml:space="preserve">Государственная программа Белгородской области</w:t>
            </w:r>
          </w:p>
        </w:tc>
        <w:tc>
          <w:tcPr>
            <w:tcW w:w="2778" w:type="dxa"/>
            <w:vAlign w:val="center"/>
            <w:vMerge w:val="restart"/>
          </w:tcPr>
          <w:p>
            <w:pPr>
              <w:pStyle w:val="0"/>
            </w:pPr>
            <w:r>
              <w:rPr>
                <w:sz w:val="20"/>
              </w:rPr>
              <w:t xml:space="preserve">Развитие водного и лесного хозяйства Белгородской области, охрана окружающей среды</w:t>
            </w:r>
          </w:p>
        </w:tc>
        <w:tc>
          <w:tcPr>
            <w:tcW w:w="2224" w:type="dxa"/>
            <w:vAlign w:val="center"/>
          </w:tcPr>
          <w:p>
            <w:pPr>
              <w:pStyle w:val="0"/>
              <w:jc w:val="both"/>
            </w:pPr>
            <w:r>
              <w:rPr>
                <w:sz w:val="20"/>
              </w:rPr>
              <w:t xml:space="preserve">Всего</w:t>
            </w:r>
          </w:p>
        </w:tc>
        <w:tc>
          <w:tcPr>
            <w:tcW w:w="1909" w:type="dxa"/>
            <w:vAlign w:val="center"/>
          </w:tcPr>
          <w:p>
            <w:pPr>
              <w:pStyle w:val="0"/>
              <w:jc w:val="both"/>
            </w:pPr>
            <w:r>
              <w:rPr>
                <w:sz w:val="20"/>
              </w:rPr>
              <w:t xml:space="preserve">10059616,9</w:t>
            </w:r>
          </w:p>
        </w:tc>
        <w:tc>
          <w:tcPr>
            <w:tcW w:w="1144" w:type="dxa"/>
            <w:vAlign w:val="center"/>
          </w:tcPr>
          <w:p>
            <w:pPr>
              <w:pStyle w:val="0"/>
              <w:jc w:val="both"/>
            </w:pPr>
            <w:r>
              <w:rPr>
                <w:sz w:val="20"/>
              </w:rPr>
              <w:t xml:space="preserve">733716,5</w:t>
            </w:r>
          </w:p>
        </w:tc>
        <w:tc>
          <w:tcPr>
            <w:tcW w:w="1144" w:type="dxa"/>
            <w:vAlign w:val="center"/>
          </w:tcPr>
          <w:p>
            <w:pPr>
              <w:pStyle w:val="0"/>
              <w:jc w:val="both"/>
            </w:pPr>
            <w:r>
              <w:rPr>
                <w:sz w:val="20"/>
              </w:rPr>
              <w:t xml:space="preserve">1889351,6</w:t>
            </w:r>
          </w:p>
        </w:tc>
        <w:tc>
          <w:tcPr>
            <w:tcW w:w="1144" w:type="dxa"/>
            <w:vAlign w:val="center"/>
          </w:tcPr>
          <w:p>
            <w:pPr>
              <w:pStyle w:val="0"/>
              <w:jc w:val="both"/>
            </w:pPr>
            <w:r>
              <w:rPr>
                <w:sz w:val="20"/>
              </w:rPr>
              <w:t xml:space="preserve">1756396,6</w:t>
            </w:r>
          </w:p>
        </w:tc>
        <w:tc>
          <w:tcPr>
            <w:tcW w:w="1144" w:type="dxa"/>
            <w:vAlign w:val="center"/>
          </w:tcPr>
          <w:p>
            <w:pPr>
              <w:pStyle w:val="0"/>
              <w:jc w:val="both"/>
            </w:pPr>
            <w:r>
              <w:rPr>
                <w:sz w:val="20"/>
              </w:rPr>
              <w:t xml:space="preserve">1324469,9</w:t>
            </w:r>
          </w:p>
        </w:tc>
        <w:tc>
          <w:tcPr>
            <w:tcW w:w="1024" w:type="dxa"/>
            <w:vAlign w:val="center"/>
          </w:tcPr>
          <w:p>
            <w:pPr>
              <w:pStyle w:val="0"/>
              <w:jc w:val="both"/>
            </w:pPr>
            <w:r>
              <w:rPr>
                <w:sz w:val="20"/>
              </w:rPr>
              <w:t xml:space="preserve">629383,2</w:t>
            </w:r>
          </w:p>
        </w:tc>
        <w:tc>
          <w:tcPr>
            <w:tcW w:w="1144" w:type="dxa"/>
            <w:vAlign w:val="center"/>
          </w:tcPr>
          <w:p>
            <w:pPr>
              <w:pStyle w:val="0"/>
              <w:jc w:val="both"/>
            </w:pPr>
            <w:r>
              <w:rPr>
                <w:sz w:val="20"/>
              </w:rPr>
              <w:t xml:space="preserve">6333317,8</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2756934,5</w:t>
            </w:r>
          </w:p>
        </w:tc>
        <w:tc>
          <w:tcPr>
            <w:tcW w:w="1144" w:type="dxa"/>
            <w:vAlign w:val="center"/>
          </w:tcPr>
          <w:p>
            <w:pPr>
              <w:pStyle w:val="0"/>
              <w:jc w:val="both"/>
            </w:pPr>
            <w:r>
              <w:rPr>
                <w:sz w:val="20"/>
              </w:rPr>
              <w:t xml:space="preserve">164765,7</w:t>
            </w:r>
          </w:p>
        </w:tc>
        <w:tc>
          <w:tcPr>
            <w:tcW w:w="1144" w:type="dxa"/>
            <w:vAlign w:val="center"/>
          </w:tcPr>
          <w:p>
            <w:pPr>
              <w:pStyle w:val="0"/>
              <w:jc w:val="both"/>
            </w:pPr>
            <w:r>
              <w:rPr>
                <w:sz w:val="20"/>
              </w:rPr>
              <w:t xml:space="preserve">640357,0</w:t>
            </w:r>
          </w:p>
        </w:tc>
        <w:tc>
          <w:tcPr>
            <w:tcW w:w="1144" w:type="dxa"/>
            <w:vAlign w:val="center"/>
          </w:tcPr>
          <w:p>
            <w:pPr>
              <w:pStyle w:val="0"/>
              <w:jc w:val="both"/>
            </w:pPr>
            <w:r>
              <w:rPr>
                <w:sz w:val="20"/>
              </w:rPr>
              <w:t xml:space="preserve">409199,9</w:t>
            </w:r>
          </w:p>
        </w:tc>
        <w:tc>
          <w:tcPr>
            <w:tcW w:w="1144" w:type="dxa"/>
            <w:vAlign w:val="center"/>
          </w:tcPr>
          <w:p>
            <w:pPr>
              <w:pStyle w:val="0"/>
              <w:jc w:val="both"/>
            </w:pPr>
            <w:r>
              <w:rPr>
                <w:sz w:val="20"/>
              </w:rPr>
              <w:t xml:space="preserve">358181,1</w:t>
            </w:r>
          </w:p>
        </w:tc>
        <w:tc>
          <w:tcPr>
            <w:tcW w:w="1024" w:type="dxa"/>
            <w:vAlign w:val="center"/>
          </w:tcPr>
          <w:p>
            <w:pPr>
              <w:pStyle w:val="0"/>
              <w:jc w:val="both"/>
            </w:pPr>
            <w:r>
              <w:rPr>
                <w:sz w:val="20"/>
              </w:rPr>
              <w:t xml:space="preserve">155411,8</w:t>
            </w:r>
          </w:p>
        </w:tc>
        <w:tc>
          <w:tcPr>
            <w:tcW w:w="1144" w:type="dxa"/>
            <w:vAlign w:val="center"/>
          </w:tcPr>
          <w:p>
            <w:pPr>
              <w:pStyle w:val="0"/>
              <w:jc w:val="both"/>
            </w:pPr>
            <w:r>
              <w:rPr>
                <w:sz w:val="20"/>
              </w:rPr>
              <w:t xml:space="preserve">1727915,5</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6063289,2</w:t>
            </w:r>
          </w:p>
        </w:tc>
        <w:tc>
          <w:tcPr>
            <w:tcW w:w="1144" w:type="dxa"/>
            <w:vAlign w:val="center"/>
          </w:tcPr>
          <w:p>
            <w:pPr>
              <w:pStyle w:val="0"/>
              <w:jc w:val="both"/>
            </w:pPr>
            <w:r>
              <w:rPr>
                <w:sz w:val="20"/>
              </w:rPr>
              <w:t xml:space="preserve">478940,9</w:t>
            </w:r>
          </w:p>
        </w:tc>
        <w:tc>
          <w:tcPr>
            <w:tcW w:w="1144" w:type="dxa"/>
            <w:vAlign w:val="center"/>
          </w:tcPr>
          <w:p>
            <w:pPr>
              <w:pStyle w:val="0"/>
              <w:jc w:val="both"/>
            </w:pPr>
            <w:r>
              <w:rPr>
                <w:sz w:val="20"/>
              </w:rPr>
              <w:t xml:space="preserve">1191508,7</w:t>
            </w:r>
          </w:p>
        </w:tc>
        <w:tc>
          <w:tcPr>
            <w:tcW w:w="1144" w:type="dxa"/>
            <w:vAlign w:val="center"/>
          </w:tcPr>
          <w:p>
            <w:pPr>
              <w:pStyle w:val="0"/>
              <w:jc w:val="both"/>
            </w:pPr>
            <w:r>
              <w:rPr>
                <w:sz w:val="20"/>
              </w:rPr>
              <w:t xml:space="preserve">1284463,8</w:t>
            </w:r>
          </w:p>
        </w:tc>
        <w:tc>
          <w:tcPr>
            <w:tcW w:w="1144" w:type="dxa"/>
            <w:vAlign w:val="center"/>
          </w:tcPr>
          <w:p>
            <w:pPr>
              <w:pStyle w:val="0"/>
              <w:jc w:val="both"/>
            </w:pPr>
            <w:r>
              <w:rPr>
                <w:sz w:val="20"/>
              </w:rPr>
              <w:t xml:space="preserve">715017,3</w:t>
            </w:r>
          </w:p>
        </w:tc>
        <w:tc>
          <w:tcPr>
            <w:tcW w:w="1024" w:type="dxa"/>
            <w:vAlign w:val="center"/>
          </w:tcPr>
          <w:p>
            <w:pPr>
              <w:pStyle w:val="0"/>
              <w:jc w:val="both"/>
            </w:pPr>
            <w:r>
              <w:rPr>
                <w:sz w:val="20"/>
              </w:rPr>
              <w:t xml:space="preserve">471696,9</w:t>
            </w:r>
          </w:p>
        </w:tc>
        <w:tc>
          <w:tcPr>
            <w:tcW w:w="1144" w:type="dxa"/>
            <w:vAlign w:val="center"/>
          </w:tcPr>
          <w:p>
            <w:pPr>
              <w:pStyle w:val="0"/>
              <w:jc w:val="both"/>
            </w:pPr>
            <w:r>
              <w:rPr>
                <w:sz w:val="20"/>
              </w:rPr>
              <w:t xml:space="preserve">4141627,6</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250573,4</w:t>
            </w:r>
          </w:p>
        </w:tc>
        <w:tc>
          <w:tcPr>
            <w:tcW w:w="1144" w:type="dxa"/>
            <w:vAlign w:val="center"/>
          </w:tcPr>
          <w:p>
            <w:pPr>
              <w:pStyle w:val="0"/>
              <w:jc w:val="both"/>
            </w:pPr>
            <w:r>
              <w:rPr>
                <w:sz w:val="20"/>
              </w:rPr>
              <w:t xml:space="preserve">5412,2</w:t>
            </w:r>
          </w:p>
        </w:tc>
        <w:tc>
          <w:tcPr>
            <w:tcW w:w="1144" w:type="dxa"/>
            <w:vAlign w:val="center"/>
          </w:tcPr>
          <w:p>
            <w:pPr>
              <w:pStyle w:val="0"/>
              <w:jc w:val="both"/>
            </w:pPr>
            <w:r>
              <w:rPr>
                <w:sz w:val="20"/>
              </w:rPr>
              <w:t xml:space="preserve">57485,9</w:t>
            </w:r>
          </w:p>
        </w:tc>
        <w:tc>
          <w:tcPr>
            <w:tcW w:w="1144" w:type="dxa"/>
            <w:vAlign w:val="center"/>
          </w:tcPr>
          <w:p>
            <w:pPr>
              <w:pStyle w:val="0"/>
              <w:jc w:val="both"/>
            </w:pPr>
            <w:r>
              <w:rPr>
                <w:sz w:val="20"/>
              </w:rPr>
              <w:t xml:space="preserve">62732,9</w:t>
            </w:r>
          </w:p>
        </w:tc>
        <w:tc>
          <w:tcPr>
            <w:tcW w:w="1144" w:type="dxa"/>
            <w:vAlign w:val="center"/>
          </w:tcPr>
          <w:p>
            <w:pPr>
              <w:pStyle w:val="0"/>
              <w:jc w:val="both"/>
            </w:pPr>
            <w:r>
              <w:rPr>
                <w:sz w:val="20"/>
              </w:rPr>
              <w:t xml:space="preserve">54204,5</w:t>
            </w:r>
          </w:p>
        </w:tc>
        <w:tc>
          <w:tcPr>
            <w:tcW w:w="1024" w:type="dxa"/>
            <w:vAlign w:val="center"/>
          </w:tcPr>
          <w:p>
            <w:pPr>
              <w:pStyle w:val="0"/>
              <w:jc w:val="both"/>
            </w:pPr>
            <w:r>
              <w:rPr>
                <w:sz w:val="20"/>
              </w:rPr>
              <w:t xml:space="preserve">2274,5</w:t>
            </w:r>
          </w:p>
        </w:tc>
        <w:tc>
          <w:tcPr>
            <w:tcW w:w="1144" w:type="dxa"/>
            <w:vAlign w:val="center"/>
          </w:tcPr>
          <w:p>
            <w:pPr>
              <w:pStyle w:val="0"/>
              <w:jc w:val="both"/>
            </w:pPr>
            <w:r>
              <w:rPr>
                <w:sz w:val="20"/>
              </w:rPr>
              <w:t xml:space="preserve">182110</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t xml:space="preserve">988819,8</w:t>
            </w:r>
          </w:p>
        </w:tc>
        <w:tc>
          <w:tcPr>
            <w:tcW w:w="1144" w:type="dxa"/>
            <w:vAlign w:val="center"/>
          </w:tcPr>
          <w:p>
            <w:pPr>
              <w:pStyle w:val="0"/>
              <w:jc w:val="both"/>
            </w:pPr>
            <w:r>
              <w:rPr>
                <w:sz w:val="20"/>
              </w:rPr>
              <w:t xml:space="preserve">84597,7</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197067,0</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281664,7</w:t>
            </w:r>
          </w:p>
        </w:tc>
      </w:tr>
      <w:tr>
        <w:tc>
          <w:tcPr>
            <w:tcW w:w="1849" w:type="dxa"/>
            <w:vAlign w:val="center"/>
            <w:vMerge w:val="restart"/>
          </w:tcPr>
          <w:p>
            <w:pPr>
              <w:pStyle w:val="0"/>
            </w:pPr>
            <w:r>
              <w:rPr>
                <w:sz w:val="20"/>
              </w:rPr>
              <w:t xml:space="preserve">Подпрограмма 1</w:t>
            </w:r>
          </w:p>
        </w:tc>
        <w:tc>
          <w:tcPr>
            <w:tcW w:w="2778" w:type="dxa"/>
            <w:vAlign w:val="center"/>
            <w:vMerge w:val="restart"/>
          </w:tcPr>
          <w:p>
            <w:pPr>
              <w:pStyle w:val="0"/>
            </w:pPr>
            <w:r>
              <w:rPr>
                <w:sz w:val="20"/>
              </w:rPr>
              <w:t xml:space="preserve">Развитие лесного хозяйства</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3576026,4</w:t>
            </w:r>
          </w:p>
        </w:tc>
        <w:tc>
          <w:tcPr>
            <w:tcW w:w="1144" w:type="dxa"/>
            <w:vAlign w:val="center"/>
          </w:tcPr>
          <w:p>
            <w:pPr>
              <w:pStyle w:val="0"/>
              <w:jc w:val="both"/>
            </w:pPr>
            <w:r>
              <w:rPr>
                <w:sz w:val="20"/>
              </w:rPr>
              <w:t xml:space="preserve">313355,6</w:t>
            </w:r>
          </w:p>
        </w:tc>
        <w:tc>
          <w:tcPr>
            <w:tcW w:w="1144" w:type="dxa"/>
            <w:vAlign w:val="center"/>
          </w:tcPr>
          <w:p>
            <w:pPr>
              <w:pStyle w:val="0"/>
              <w:jc w:val="both"/>
            </w:pPr>
            <w:r>
              <w:rPr>
                <w:sz w:val="20"/>
              </w:rPr>
              <w:t xml:space="preserve">369580,9</w:t>
            </w:r>
          </w:p>
        </w:tc>
        <w:tc>
          <w:tcPr>
            <w:tcW w:w="1144" w:type="dxa"/>
            <w:vAlign w:val="center"/>
          </w:tcPr>
          <w:p>
            <w:pPr>
              <w:pStyle w:val="0"/>
              <w:jc w:val="both"/>
            </w:pPr>
            <w:r>
              <w:rPr>
                <w:sz w:val="20"/>
              </w:rPr>
              <w:t xml:space="preserve">350910,5</w:t>
            </w:r>
          </w:p>
        </w:tc>
        <w:tc>
          <w:tcPr>
            <w:tcW w:w="1144" w:type="dxa"/>
            <w:vAlign w:val="center"/>
          </w:tcPr>
          <w:p>
            <w:pPr>
              <w:pStyle w:val="0"/>
              <w:jc w:val="both"/>
            </w:pPr>
            <w:r>
              <w:rPr>
                <w:sz w:val="20"/>
              </w:rPr>
              <w:t xml:space="preserve">371130,5</w:t>
            </w:r>
          </w:p>
        </w:tc>
        <w:tc>
          <w:tcPr>
            <w:tcW w:w="1024" w:type="dxa"/>
            <w:vAlign w:val="center"/>
          </w:tcPr>
          <w:p>
            <w:pPr>
              <w:pStyle w:val="0"/>
              <w:jc w:val="both"/>
            </w:pPr>
            <w:r>
              <w:rPr>
                <w:sz w:val="20"/>
              </w:rPr>
              <w:t xml:space="preserve">374100</w:t>
            </w:r>
          </w:p>
        </w:tc>
        <w:tc>
          <w:tcPr>
            <w:tcW w:w="1144" w:type="dxa"/>
            <w:vAlign w:val="center"/>
          </w:tcPr>
          <w:p>
            <w:pPr>
              <w:pStyle w:val="0"/>
              <w:jc w:val="both"/>
            </w:pPr>
            <w:r>
              <w:rPr>
                <w:sz w:val="20"/>
              </w:rPr>
              <w:t xml:space="preserve">1779077,5</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1349397,4</w:t>
            </w:r>
          </w:p>
        </w:tc>
        <w:tc>
          <w:tcPr>
            <w:tcW w:w="1144" w:type="dxa"/>
            <w:vAlign w:val="center"/>
          </w:tcPr>
          <w:p>
            <w:pPr>
              <w:pStyle w:val="0"/>
              <w:jc w:val="both"/>
            </w:pPr>
            <w:r>
              <w:rPr>
                <w:sz w:val="20"/>
              </w:rPr>
              <w:t xml:space="preserve">136063,4</w:t>
            </w:r>
          </w:p>
        </w:tc>
        <w:tc>
          <w:tcPr>
            <w:tcW w:w="1144" w:type="dxa"/>
            <w:vAlign w:val="center"/>
          </w:tcPr>
          <w:p>
            <w:pPr>
              <w:pStyle w:val="0"/>
              <w:jc w:val="both"/>
            </w:pPr>
            <w:r>
              <w:rPr>
                <w:sz w:val="20"/>
              </w:rPr>
              <w:t xml:space="preserve">132928,0</w:t>
            </w:r>
          </w:p>
        </w:tc>
        <w:tc>
          <w:tcPr>
            <w:tcW w:w="1144" w:type="dxa"/>
            <w:vAlign w:val="center"/>
          </w:tcPr>
          <w:p>
            <w:pPr>
              <w:pStyle w:val="0"/>
              <w:jc w:val="both"/>
            </w:pPr>
            <w:r>
              <w:rPr>
                <w:sz w:val="20"/>
              </w:rPr>
              <w:t xml:space="preserve">124374,4</w:t>
            </w:r>
          </w:p>
        </w:tc>
        <w:tc>
          <w:tcPr>
            <w:tcW w:w="1144" w:type="dxa"/>
            <w:vAlign w:val="center"/>
          </w:tcPr>
          <w:p>
            <w:pPr>
              <w:pStyle w:val="0"/>
              <w:jc w:val="both"/>
            </w:pPr>
            <w:r>
              <w:rPr>
                <w:sz w:val="20"/>
              </w:rPr>
              <w:t xml:space="preserve">130248,9</w:t>
            </w:r>
          </w:p>
        </w:tc>
        <w:tc>
          <w:tcPr>
            <w:tcW w:w="1024" w:type="dxa"/>
            <w:vAlign w:val="center"/>
          </w:tcPr>
          <w:p>
            <w:pPr>
              <w:pStyle w:val="0"/>
              <w:jc w:val="both"/>
            </w:pPr>
            <w:r>
              <w:rPr>
                <w:sz w:val="20"/>
              </w:rPr>
              <w:t xml:space="preserve">124792,8</w:t>
            </w:r>
          </w:p>
        </w:tc>
        <w:tc>
          <w:tcPr>
            <w:tcW w:w="1144" w:type="dxa"/>
            <w:vAlign w:val="center"/>
          </w:tcPr>
          <w:p>
            <w:pPr>
              <w:pStyle w:val="0"/>
              <w:jc w:val="both"/>
            </w:pPr>
            <w:r>
              <w:rPr>
                <w:sz w:val="20"/>
              </w:rPr>
              <w:t xml:space="preserve">648407,5</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2226629</w:t>
            </w:r>
          </w:p>
        </w:tc>
        <w:tc>
          <w:tcPr>
            <w:tcW w:w="1144" w:type="dxa"/>
            <w:vAlign w:val="center"/>
          </w:tcPr>
          <w:p>
            <w:pPr>
              <w:pStyle w:val="0"/>
              <w:jc w:val="both"/>
            </w:pPr>
            <w:r>
              <w:rPr>
                <w:sz w:val="20"/>
              </w:rPr>
              <w:t xml:space="preserve">177292,2</w:t>
            </w:r>
          </w:p>
        </w:tc>
        <w:tc>
          <w:tcPr>
            <w:tcW w:w="1144" w:type="dxa"/>
            <w:vAlign w:val="center"/>
          </w:tcPr>
          <w:p>
            <w:pPr>
              <w:pStyle w:val="0"/>
              <w:jc w:val="both"/>
            </w:pPr>
            <w:r>
              <w:rPr>
                <w:sz w:val="20"/>
              </w:rPr>
              <w:t xml:space="preserve">236652,9</w:t>
            </w:r>
          </w:p>
        </w:tc>
        <w:tc>
          <w:tcPr>
            <w:tcW w:w="1144" w:type="dxa"/>
            <w:vAlign w:val="center"/>
          </w:tcPr>
          <w:p>
            <w:pPr>
              <w:pStyle w:val="0"/>
              <w:jc w:val="both"/>
            </w:pPr>
            <w:r>
              <w:rPr>
                <w:sz w:val="20"/>
              </w:rPr>
              <w:t xml:space="preserve">226536,1</w:t>
            </w:r>
          </w:p>
        </w:tc>
        <w:tc>
          <w:tcPr>
            <w:tcW w:w="1144" w:type="dxa"/>
            <w:vAlign w:val="center"/>
          </w:tcPr>
          <w:p>
            <w:pPr>
              <w:pStyle w:val="0"/>
              <w:jc w:val="both"/>
            </w:pPr>
            <w:r>
              <w:rPr>
                <w:sz w:val="20"/>
              </w:rPr>
              <w:t xml:space="preserve">240881,6</w:t>
            </w:r>
          </w:p>
        </w:tc>
        <w:tc>
          <w:tcPr>
            <w:tcW w:w="1024" w:type="dxa"/>
            <w:vAlign w:val="center"/>
          </w:tcPr>
          <w:p>
            <w:pPr>
              <w:pStyle w:val="0"/>
              <w:jc w:val="both"/>
            </w:pPr>
            <w:r>
              <w:rPr>
                <w:sz w:val="20"/>
              </w:rPr>
              <w:t xml:space="preserve">249307,2</w:t>
            </w:r>
          </w:p>
        </w:tc>
        <w:tc>
          <w:tcPr>
            <w:tcW w:w="1144" w:type="dxa"/>
            <w:vAlign w:val="center"/>
          </w:tcPr>
          <w:p>
            <w:pPr>
              <w:pStyle w:val="0"/>
              <w:jc w:val="both"/>
            </w:pPr>
            <w:r>
              <w:rPr>
                <w:sz w:val="20"/>
              </w:rPr>
              <w:t xml:space="preserve">1130670</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1.1</w:t>
            </w:r>
          </w:p>
        </w:tc>
        <w:tc>
          <w:tcPr>
            <w:tcW w:w="2778" w:type="dxa"/>
            <w:vAlign w:val="center"/>
            <w:vMerge w:val="restart"/>
          </w:tcPr>
          <w:p>
            <w:pPr>
              <w:pStyle w:val="0"/>
            </w:pPr>
            <w:r>
              <w:rPr>
                <w:sz w:val="20"/>
              </w:rPr>
              <w:t xml:space="preserve">Обеспечение функций органов власти Белгородской области, в том числе территориальных органов</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98808,6</w:t>
            </w:r>
          </w:p>
        </w:tc>
        <w:tc>
          <w:tcPr>
            <w:tcW w:w="1144" w:type="dxa"/>
            <w:vAlign w:val="center"/>
          </w:tcPr>
          <w:p>
            <w:pPr>
              <w:pStyle w:val="0"/>
              <w:jc w:val="both"/>
            </w:pPr>
            <w:r>
              <w:rPr>
                <w:sz w:val="20"/>
              </w:rPr>
              <w:t xml:space="preserve">2226,7</w:t>
            </w:r>
          </w:p>
        </w:tc>
        <w:tc>
          <w:tcPr>
            <w:tcW w:w="1144" w:type="dxa"/>
            <w:vAlign w:val="center"/>
          </w:tcPr>
          <w:p>
            <w:pPr>
              <w:pStyle w:val="0"/>
              <w:jc w:val="both"/>
            </w:pPr>
            <w:r>
              <w:rPr>
                <w:sz w:val="20"/>
              </w:rPr>
              <w:t xml:space="preserve">9209,2</w:t>
            </w:r>
          </w:p>
        </w:tc>
        <w:tc>
          <w:tcPr>
            <w:tcW w:w="1144" w:type="dxa"/>
            <w:vAlign w:val="center"/>
          </w:tcPr>
          <w:p>
            <w:pPr>
              <w:pStyle w:val="0"/>
              <w:jc w:val="both"/>
            </w:pPr>
            <w:r>
              <w:rPr>
                <w:sz w:val="20"/>
              </w:rPr>
              <w:t xml:space="preserve">11463,7</w:t>
            </w:r>
          </w:p>
        </w:tc>
        <w:tc>
          <w:tcPr>
            <w:tcW w:w="1144" w:type="dxa"/>
            <w:vAlign w:val="center"/>
          </w:tcPr>
          <w:p>
            <w:pPr>
              <w:pStyle w:val="0"/>
              <w:jc w:val="both"/>
            </w:pPr>
            <w:r>
              <w:rPr>
                <w:sz w:val="20"/>
              </w:rPr>
              <w:t xml:space="preserve">11352,1</w:t>
            </w:r>
          </w:p>
        </w:tc>
        <w:tc>
          <w:tcPr>
            <w:tcW w:w="1024" w:type="dxa"/>
            <w:vAlign w:val="center"/>
          </w:tcPr>
          <w:p>
            <w:pPr>
              <w:pStyle w:val="0"/>
              <w:jc w:val="both"/>
            </w:pPr>
            <w:r>
              <w:rPr>
                <w:sz w:val="20"/>
              </w:rPr>
              <w:t xml:space="preserve">11754,2</w:t>
            </w:r>
          </w:p>
        </w:tc>
        <w:tc>
          <w:tcPr>
            <w:tcW w:w="1144" w:type="dxa"/>
            <w:vAlign w:val="center"/>
          </w:tcPr>
          <w:p>
            <w:pPr>
              <w:pStyle w:val="0"/>
              <w:jc w:val="both"/>
            </w:pPr>
            <w:r>
              <w:rPr>
                <w:sz w:val="20"/>
              </w:rPr>
              <w:t xml:space="preserve">46005,9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98808,6</w:t>
            </w:r>
          </w:p>
        </w:tc>
        <w:tc>
          <w:tcPr>
            <w:tcW w:w="1144" w:type="dxa"/>
            <w:vAlign w:val="center"/>
          </w:tcPr>
          <w:p>
            <w:pPr>
              <w:pStyle w:val="0"/>
              <w:jc w:val="both"/>
            </w:pPr>
            <w:r>
              <w:rPr>
                <w:sz w:val="20"/>
              </w:rPr>
              <w:t xml:space="preserve">2226,7</w:t>
            </w:r>
          </w:p>
        </w:tc>
        <w:tc>
          <w:tcPr>
            <w:tcW w:w="1144" w:type="dxa"/>
            <w:vAlign w:val="center"/>
          </w:tcPr>
          <w:p>
            <w:pPr>
              <w:pStyle w:val="0"/>
              <w:jc w:val="both"/>
            </w:pPr>
            <w:r>
              <w:rPr>
                <w:sz w:val="20"/>
              </w:rPr>
              <w:t xml:space="preserve">9209,2</w:t>
            </w:r>
          </w:p>
        </w:tc>
        <w:tc>
          <w:tcPr>
            <w:tcW w:w="1144" w:type="dxa"/>
            <w:vAlign w:val="center"/>
          </w:tcPr>
          <w:p>
            <w:pPr>
              <w:pStyle w:val="0"/>
              <w:jc w:val="both"/>
            </w:pPr>
            <w:r>
              <w:rPr>
                <w:sz w:val="20"/>
              </w:rPr>
              <w:t xml:space="preserve">11463,7</w:t>
            </w:r>
          </w:p>
        </w:tc>
        <w:tc>
          <w:tcPr>
            <w:tcW w:w="1144" w:type="dxa"/>
            <w:vAlign w:val="center"/>
          </w:tcPr>
          <w:p>
            <w:pPr>
              <w:pStyle w:val="0"/>
              <w:jc w:val="both"/>
            </w:pPr>
            <w:r>
              <w:rPr>
                <w:sz w:val="20"/>
              </w:rPr>
              <w:t xml:space="preserve">11352,1</w:t>
            </w:r>
          </w:p>
        </w:tc>
        <w:tc>
          <w:tcPr>
            <w:tcW w:w="1024" w:type="dxa"/>
            <w:vAlign w:val="center"/>
          </w:tcPr>
          <w:p>
            <w:pPr>
              <w:pStyle w:val="0"/>
              <w:jc w:val="both"/>
            </w:pPr>
            <w:r>
              <w:rPr>
                <w:sz w:val="20"/>
              </w:rPr>
              <w:t xml:space="preserve">11754,2</w:t>
            </w:r>
          </w:p>
        </w:tc>
        <w:tc>
          <w:tcPr>
            <w:tcW w:w="1144" w:type="dxa"/>
            <w:vAlign w:val="center"/>
          </w:tcPr>
          <w:p>
            <w:pPr>
              <w:pStyle w:val="0"/>
              <w:jc w:val="both"/>
            </w:pPr>
            <w:r>
              <w:rPr>
                <w:sz w:val="20"/>
              </w:rPr>
              <w:t xml:space="preserve">46005,9</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1.2</w:t>
            </w:r>
          </w:p>
        </w:tc>
        <w:tc>
          <w:tcPr>
            <w:tcW w:w="2778" w:type="dxa"/>
            <w:vAlign w:val="center"/>
            <w:vMerge w:val="restart"/>
          </w:tcPr>
          <w:p>
            <w:pPr>
              <w:pStyle w:val="0"/>
            </w:pPr>
            <w:r>
              <w:rPr>
                <w:sz w:val="20"/>
              </w:rPr>
              <w:t xml:space="preserve">Обеспечение деятельности (оказание услуг) государственных учреждений (организаций)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2000310,2</w:t>
            </w:r>
          </w:p>
        </w:tc>
        <w:tc>
          <w:tcPr>
            <w:tcW w:w="1144" w:type="dxa"/>
            <w:vAlign w:val="center"/>
          </w:tcPr>
          <w:p>
            <w:pPr>
              <w:pStyle w:val="0"/>
              <w:jc w:val="both"/>
            </w:pPr>
            <w:r>
              <w:rPr>
                <w:sz w:val="20"/>
              </w:rPr>
              <w:t xml:space="preserve">175065,5</w:t>
            </w:r>
          </w:p>
        </w:tc>
        <w:tc>
          <w:tcPr>
            <w:tcW w:w="1144" w:type="dxa"/>
            <w:vAlign w:val="center"/>
          </w:tcPr>
          <w:p>
            <w:pPr>
              <w:pStyle w:val="0"/>
              <w:jc w:val="both"/>
            </w:pPr>
            <w:r>
              <w:rPr>
                <w:sz w:val="20"/>
              </w:rPr>
              <w:t xml:space="preserve">209443,7</w:t>
            </w:r>
          </w:p>
        </w:tc>
        <w:tc>
          <w:tcPr>
            <w:tcW w:w="1144" w:type="dxa"/>
            <w:vAlign w:val="center"/>
          </w:tcPr>
          <w:p>
            <w:pPr>
              <w:pStyle w:val="0"/>
              <w:jc w:val="both"/>
            </w:pPr>
            <w:r>
              <w:rPr>
                <w:sz w:val="20"/>
              </w:rPr>
              <w:t xml:space="preserve">199419,1</w:t>
            </w:r>
          </w:p>
        </w:tc>
        <w:tc>
          <w:tcPr>
            <w:tcW w:w="1144" w:type="dxa"/>
            <w:vAlign w:val="center"/>
          </w:tcPr>
          <w:p>
            <w:pPr>
              <w:pStyle w:val="0"/>
              <w:jc w:val="both"/>
            </w:pPr>
            <w:r>
              <w:rPr>
                <w:sz w:val="20"/>
              </w:rPr>
              <w:t xml:space="preserve">211529,5</w:t>
            </w:r>
          </w:p>
        </w:tc>
        <w:tc>
          <w:tcPr>
            <w:tcW w:w="1024" w:type="dxa"/>
            <w:vAlign w:val="center"/>
          </w:tcPr>
          <w:p>
            <w:pPr>
              <w:pStyle w:val="0"/>
              <w:jc w:val="both"/>
            </w:pPr>
            <w:r>
              <w:rPr>
                <w:sz w:val="20"/>
              </w:rPr>
              <w:t xml:space="preserve">219553</w:t>
            </w:r>
          </w:p>
        </w:tc>
        <w:tc>
          <w:tcPr>
            <w:tcW w:w="1144" w:type="dxa"/>
            <w:vAlign w:val="center"/>
          </w:tcPr>
          <w:p>
            <w:pPr>
              <w:pStyle w:val="0"/>
              <w:jc w:val="both"/>
            </w:pPr>
            <w:r>
              <w:rPr>
                <w:sz w:val="20"/>
              </w:rPr>
              <w:t xml:space="preserve">1015010,8</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2000310,2</w:t>
            </w:r>
          </w:p>
        </w:tc>
        <w:tc>
          <w:tcPr>
            <w:tcW w:w="1144" w:type="dxa"/>
            <w:vAlign w:val="center"/>
          </w:tcPr>
          <w:p>
            <w:pPr>
              <w:pStyle w:val="0"/>
              <w:jc w:val="both"/>
            </w:pPr>
            <w:r>
              <w:rPr>
                <w:sz w:val="20"/>
              </w:rPr>
              <w:t xml:space="preserve">175065,5</w:t>
            </w:r>
          </w:p>
        </w:tc>
        <w:tc>
          <w:tcPr>
            <w:tcW w:w="1144" w:type="dxa"/>
            <w:vAlign w:val="center"/>
          </w:tcPr>
          <w:p>
            <w:pPr>
              <w:pStyle w:val="0"/>
              <w:jc w:val="both"/>
            </w:pPr>
            <w:r>
              <w:rPr>
                <w:sz w:val="20"/>
              </w:rPr>
              <w:t xml:space="preserve">209443,7</w:t>
            </w:r>
          </w:p>
        </w:tc>
        <w:tc>
          <w:tcPr>
            <w:tcW w:w="1144" w:type="dxa"/>
            <w:vAlign w:val="center"/>
          </w:tcPr>
          <w:p>
            <w:pPr>
              <w:pStyle w:val="0"/>
              <w:jc w:val="both"/>
            </w:pPr>
            <w:r>
              <w:rPr>
                <w:sz w:val="20"/>
              </w:rPr>
              <w:t xml:space="preserve">199419,1</w:t>
            </w:r>
          </w:p>
        </w:tc>
        <w:tc>
          <w:tcPr>
            <w:tcW w:w="1144" w:type="dxa"/>
            <w:vAlign w:val="center"/>
          </w:tcPr>
          <w:p>
            <w:pPr>
              <w:pStyle w:val="0"/>
              <w:jc w:val="both"/>
            </w:pPr>
            <w:r>
              <w:rPr>
                <w:sz w:val="20"/>
              </w:rPr>
              <w:t xml:space="preserve">211529,5</w:t>
            </w:r>
          </w:p>
        </w:tc>
        <w:tc>
          <w:tcPr>
            <w:tcW w:w="1024" w:type="dxa"/>
            <w:vAlign w:val="center"/>
          </w:tcPr>
          <w:p>
            <w:pPr>
              <w:pStyle w:val="0"/>
              <w:jc w:val="both"/>
            </w:pPr>
            <w:r>
              <w:rPr>
                <w:sz w:val="20"/>
              </w:rPr>
              <w:t xml:space="preserve">219553</w:t>
            </w:r>
          </w:p>
        </w:tc>
        <w:tc>
          <w:tcPr>
            <w:tcW w:w="1144" w:type="dxa"/>
            <w:vAlign w:val="center"/>
          </w:tcPr>
          <w:p>
            <w:pPr>
              <w:pStyle w:val="0"/>
              <w:jc w:val="both"/>
            </w:pPr>
            <w:r>
              <w:rPr>
                <w:sz w:val="20"/>
              </w:rPr>
              <w:t xml:space="preserve">1015010,8</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1.3</w:t>
            </w:r>
          </w:p>
        </w:tc>
        <w:tc>
          <w:tcPr>
            <w:tcW w:w="2778" w:type="dxa"/>
            <w:vAlign w:val="center"/>
            <w:vMerge w:val="restart"/>
          </w:tcPr>
          <w:p>
            <w:pPr>
              <w:pStyle w:val="0"/>
            </w:pPr>
            <w:r>
              <w:rPr>
                <w:sz w:val="20"/>
              </w:rPr>
              <w:t xml:space="preserve">Осуществление органами государственной власти Российской Федерации отдельных полномочий в области лесных отношений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1208735,6</w:t>
            </w:r>
          </w:p>
        </w:tc>
        <w:tc>
          <w:tcPr>
            <w:tcW w:w="1144" w:type="dxa"/>
            <w:vAlign w:val="center"/>
          </w:tcPr>
          <w:p>
            <w:pPr>
              <w:pStyle w:val="0"/>
              <w:jc w:val="both"/>
            </w:pPr>
            <w:r>
              <w:rPr>
                <w:sz w:val="20"/>
              </w:rPr>
              <w:t xml:space="preserve">119846,4</w:t>
            </w:r>
          </w:p>
        </w:tc>
        <w:tc>
          <w:tcPr>
            <w:tcW w:w="1144" w:type="dxa"/>
            <w:vAlign w:val="center"/>
          </w:tcPr>
          <w:p>
            <w:pPr>
              <w:pStyle w:val="0"/>
              <w:jc w:val="both"/>
            </w:pPr>
            <w:r>
              <w:rPr>
                <w:sz w:val="20"/>
              </w:rPr>
              <w:t xml:space="preserve">127909,0</w:t>
            </w:r>
          </w:p>
        </w:tc>
        <w:tc>
          <w:tcPr>
            <w:tcW w:w="1144" w:type="dxa"/>
            <w:vAlign w:val="center"/>
          </w:tcPr>
          <w:p>
            <w:pPr>
              <w:pStyle w:val="0"/>
              <w:jc w:val="both"/>
            </w:pPr>
            <w:r>
              <w:rPr>
                <w:sz w:val="20"/>
              </w:rPr>
              <w:t xml:space="preserve">104573,6</w:t>
            </w:r>
          </w:p>
        </w:tc>
        <w:tc>
          <w:tcPr>
            <w:tcW w:w="1144" w:type="dxa"/>
            <w:vAlign w:val="center"/>
          </w:tcPr>
          <w:p>
            <w:pPr>
              <w:pStyle w:val="0"/>
              <w:jc w:val="both"/>
            </w:pPr>
            <w:r>
              <w:rPr>
                <w:sz w:val="20"/>
              </w:rPr>
              <w:t xml:space="preserve">102452,5</w:t>
            </w:r>
          </w:p>
        </w:tc>
        <w:tc>
          <w:tcPr>
            <w:tcW w:w="1024" w:type="dxa"/>
            <w:vAlign w:val="center"/>
          </w:tcPr>
          <w:p>
            <w:pPr>
              <w:pStyle w:val="0"/>
              <w:jc w:val="both"/>
            </w:pPr>
            <w:r>
              <w:rPr>
                <w:sz w:val="20"/>
              </w:rPr>
              <w:t xml:space="preserve">103939,4</w:t>
            </w:r>
          </w:p>
        </w:tc>
        <w:tc>
          <w:tcPr>
            <w:tcW w:w="1144" w:type="dxa"/>
            <w:vAlign w:val="center"/>
          </w:tcPr>
          <w:p>
            <w:pPr>
              <w:pStyle w:val="0"/>
              <w:jc w:val="both"/>
            </w:pPr>
            <w:r>
              <w:rPr>
                <w:sz w:val="20"/>
              </w:rPr>
              <w:t xml:space="preserve">558720,9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1208735,6</w:t>
            </w:r>
          </w:p>
        </w:tc>
        <w:tc>
          <w:tcPr>
            <w:tcW w:w="1144" w:type="dxa"/>
            <w:vAlign w:val="center"/>
          </w:tcPr>
          <w:p>
            <w:pPr>
              <w:pStyle w:val="0"/>
              <w:jc w:val="both"/>
            </w:pPr>
            <w:r>
              <w:rPr>
                <w:sz w:val="20"/>
              </w:rPr>
              <w:t xml:space="preserve">119846,4</w:t>
            </w:r>
          </w:p>
        </w:tc>
        <w:tc>
          <w:tcPr>
            <w:tcW w:w="1144" w:type="dxa"/>
            <w:vAlign w:val="center"/>
          </w:tcPr>
          <w:p>
            <w:pPr>
              <w:pStyle w:val="0"/>
              <w:jc w:val="both"/>
            </w:pPr>
            <w:r>
              <w:rPr>
                <w:sz w:val="20"/>
              </w:rPr>
              <w:t xml:space="preserve">127909,0</w:t>
            </w:r>
          </w:p>
        </w:tc>
        <w:tc>
          <w:tcPr>
            <w:tcW w:w="1144" w:type="dxa"/>
            <w:vAlign w:val="center"/>
          </w:tcPr>
          <w:p>
            <w:pPr>
              <w:pStyle w:val="0"/>
              <w:jc w:val="both"/>
            </w:pPr>
            <w:r>
              <w:rPr>
                <w:sz w:val="20"/>
              </w:rPr>
              <w:t xml:space="preserve">104573,6</w:t>
            </w:r>
          </w:p>
        </w:tc>
        <w:tc>
          <w:tcPr>
            <w:tcW w:w="1144" w:type="dxa"/>
            <w:vAlign w:val="center"/>
          </w:tcPr>
          <w:p>
            <w:pPr>
              <w:pStyle w:val="0"/>
              <w:jc w:val="both"/>
            </w:pPr>
            <w:r>
              <w:rPr>
                <w:sz w:val="20"/>
              </w:rPr>
              <w:t xml:space="preserve">102452,5</w:t>
            </w:r>
          </w:p>
        </w:tc>
        <w:tc>
          <w:tcPr>
            <w:tcW w:w="1024" w:type="dxa"/>
            <w:vAlign w:val="center"/>
          </w:tcPr>
          <w:p>
            <w:pPr>
              <w:pStyle w:val="0"/>
              <w:jc w:val="both"/>
            </w:pPr>
            <w:r>
              <w:rPr>
                <w:sz w:val="20"/>
              </w:rPr>
              <w:t xml:space="preserve">103939,4</w:t>
            </w:r>
          </w:p>
        </w:tc>
        <w:tc>
          <w:tcPr>
            <w:tcW w:w="1144" w:type="dxa"/>
            <w:vAlign w:val="center"/>
          </w:tcPr>
          <w:p>
            <w:pPr>
              <w:pStyle w:val="0"/>
              <w:jc w:val="both"/>
            </w:pPr>
            <w:r>
              <w:rPr>
                <w:sz w:val="20"/>
              </w:rPr>
              <w:t xml:space="preserve">558720,9</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1.4</w:t>
            </w:r>
          </w:p>
        </w:tc>
        <w:tc>
          <w:tcPr>
            <w:tcW w:w="2778" w:type="dxa"/>
            <w:vAlign w:val="center"/>
            <w:vMerge w:val="restart"/>
          </w:tcPr>
          <w:p>
            <w:pPr>
              <w:pStyle w:val="0"/>
            </w:pPr>
            <w:r>
              <w:rPr>
                <w:sz w:val="20"/>
              </w:rPr>
              <w:t xml:space="preserve">Приобретение специализированной лесопожарной техники и оборудования</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5385</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5196</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189</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1.5</w:t>
            </w:r>
          </w:p>
        </w:tc>
        <w:tc>
          <w:tcPr>
            <w:tcW w:w="2778" w:type="dxa"/>
            <w:vAlign w:val="center"/>
            <w:vMerge w:val="restart"/>
          </w:tcPr>
          <w:p>
            <w:pPr>
              <w:pStyle w:val="0"/>
            </w:pPr>
            <w:r>
              <w:rPr>
                <w:sz w:val="20"/>
              </w:rPr>
              <w:t xml:space="preserve">Создание полезащитных полос</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127321,2</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18000</w:t>
            </w:r>
          </w:p>
        </w:tc>
        <w:tc>
          <w:tcPr>
            <w:tcW w:w="1144" w:type="dxa"/>
            <w:vAlign w:val="center"/>
          </w:tcPr>
          <w:p>
            <w:pPr>
              <w:pStyle w:val="0"/>
              <w:jc w:val="both"/>
            </w:pPr>
            <w:r>
              <w:rPr>
                <w:sz w:val="20"/>
              </w:rPr>
              <w:t xml:space="preserve">15653,3</w:t>
            </w:r>
          </w:p>
        </w:tc>
        <w:tc>
          <w:tcPr>
            <w:tcW w:w="1144" w:type="dxa"/>
            <w:vAlign w:val="center"/>
          </w:tcPr>
          <w:p>
            <w:pPr>
              <w:pStyle w:val="0"/>
              <w:jc w:val="both"/>
            </w:pPr>
            <w:r>
              <w:rPr>
                <w:sz w:val="20"/>
              </w:rPr>
              <w:t xml:space="preserve">18000</w:t>
            </w:r>
          </w:p>
        </w:tc>
        <w:tc>
          <w:tcPr>
            <w:tcW w:w="1024" w:type="dxa"/>
            <w:vAlign w:val="center"/>
          </w:tcPr>
          <w:p>
            <w:pPr>
              <w:pStyle w:val="0"/>
              <w:jc w:val="both"/>
            </w:pPr>
            <w:r>
              <w:rPr>
                <w:sz w:val="20"/>
              </w:rPr>
              <w:t xml:space="preserve">18000</w:t>
            </w:r>
          </w:p>
        </w:tc>
        <w:tc>
          <w:tcPr>
            <w:tcW w:w="1144" w:type="dxa"/>
            <w:vAlign w:val="center"/>
          </w:tcPr>
          <w:p>
            <w:pPr>
              <w:pStyle w:val="0"/>
              <w:jc w:val="both"/>
            </w:pPr>
            <w:r>
              <w:rPr>
                <w:sz w:val="20"/>
              </w:rPr>
              <w:t xml:space="preserve">69653,3</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127321,2</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18000</w:t>
            </w:r>
          </w:p>
        </w:tc>
        <w:tc>
          <w:tcPr>
            <w:tcW w:w="1144" w:type="dxa"/>
            <w:vAlign w:val="center"/>
          </w:tcPr>
          <w:p>
            <w:pPr>
              <w:pStyle w:val="0"/>
              <w:jc w:val="both"/>
            </w:pPr>
            <w:r>
              <w:rPr>
                <w:sz w:val="20"/>
              </w:rPr>
              <w:t xml:space="preserve">15653,3</w:t>
            </w:r>
          </w:p>
        </w:tc>
        <w:tc>
          <w:tcPr>
            <w:tcW w:w="1144" w:type="dxa"/>
            <w:vAlign w:val="center"/>
          </w:tcPr>
          <w:p>
            <w:pPr>
              <w:pStyle w:val="0"/>
              <w:jc w:val="both"/>
            </w:pPr>
            <w:r>
              <w:rPr>
                <w:sz w:val="20"/>
              </w:rPr>
              <w:t xml:space="preserve">18000</w:t>
            </w:r>
          </w:p>
        </w:tc>
        <w:tc>
          <w:tcPr>
            <w:tcW w:w="1024" w:type="dxa"/>
            <w:vAlign w:val="center"/>
          </w:tcPr>
          <w:p>
            <w:pPr>
              <w:pStyle w:val="0"/>
              <w:jc w:val="both"/>
            </w:pPr>
            <w:r>
              <w:rPr>
                <w:sz w:val="20"/>
              </w:rPr>
              <w:t xml:space="preserve">18000</w:t>
            </w:r>
          </w:p>
        </w:tc>
        <w:tc>
          <w:tcPr>
            <w:tcW w:w="1144" w:type="dxa"/>
            <w:vAlign w:val="center"/>
          </w:tcPr>
          <w:p>
            <w:pPr>
              <w:pStyle w:val="0"/>
              <w:jc w:val="both"/>
            </w:pPr>
            <w:r>
              <w:rPr>
                <w:sz w:val="20"/>
              </w:rPr>
              <w:t xml:space="preserve">69653,3</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Проект 1.GА</w:t>
            </w:r>
          </w:p>
        </w:tc>
        <w:tc>
          <w:tcPr>
            <w:tcW w:w="2778" w:type="dxa"/>
            <w:vAlign w:val="center"/>
            <w:vMerge w:val="restart"/>
          </w:tcPr>
          <w:p>
            <w:pPr>
              <w:pStyle w:val="0"/>
            </w:pPr>
            <w:r>
              <w:rPr>
                <w:sz w:val="20"/>
              </w:rPr>
              <w:t xml:space="preserve">Сохранение лесов</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135465,8</w:t>
            </w:r>
          </w:p>
        </w:tc>
        <w:tc>
          <w:tcPr>
            <w:tcW w:w="1144" w:type="dxa"/>
            <w:vAlign w:val="center"/>
          </w:tcPr>
          <w:p>
            <w:pPr>
              <w:pStyle w:val="0"/>
              <w:jc w:val="both"/>
            </w:pPr>
            <w:r>
              <w:rPr>
                <w:sz w:val="20"/>
              </w:rPr>
              <w:t xml:space="preserve">16217</w:t>
            </w:r>
          </w:p>
        </w:tc>
        <w:tc>
          <w:tcPr>
            <w:tcW w:w="1144" w:type="dxa"/>
            <w:vAlign w:val="center"/>
          </w:tcPr>
          <w:p>
            <w:pPr>
              <w:pStyle w:val="0"/>
              <w:jc w:val="both"/>
            </w:pPr>
            <w:r>
              <w:rPr>
                <w:sz w:val="20"/>
              </w:rPr>
              <w:t xml:space="preserve">5019</w:t>
            </w:r>
          </w:p>
        </w:tc>
        <w:tc>
          <w:tcPr>
            <w:tcW w:w="1144" w:type="dxa"/>
            <w:vAlign w:val="center"/>
          </w:tcPr>
          <w:p>
            <w:pPr>
              <w:pStyle w:val="0"/>
              <w:jc w:val="both"/>
            </w:pPr>
            <w:r>
              <w:rPr>
                <w:sz w:val="20"/>
              </w:rPr>
              <w:t xml:space="preserve">19800,8</w:t>
            </w:r>
          </w:p>
        </w:tc>
        <w:tc>
          <w:tcPr>
            <w:tcW w:w="1144" w:type="dxa"/>
            <w:vAlign w:val="center"/>
          </w:tcPr>
          <w:p>
            <w:pPr>
              <w:pStyle w:val="0"/>
              <w:jc w:val="both"/>
            </w:pPr>
            <w:r>
              <w:rPr>
                <w:sz w:val="20"/>
              </w:rPr>
              <w:t xml:space="preserve">27796,4</w:t>
            </w:r>
          </w:p>
        </w:tc>
        <w:tc>
          <w:tcPr>
            <w:tcW w:w="1024" w:type="dxa"/>
            <w:vAlign w:val="center"/>
          </w:tcPr>
          <w:p>
            <w:pPr>
              <w:pStyle w:val="0"/>
              <w:jc w:val="both"/>
            </w:pPr>
            <w:r>
              <w:rPr>
                <w:sz w:val="20"/>
              </w:rPr>
              <w:t xml:space="preserve">20853,4</w:t>
            </w:r>
          </w:p>
        </w:tc>
        <w:tc>
          <w:tcPr>
            <w:tcW w:w="1144" w:type="dxa"/>
            <w:vAlign w:val="center"/>
          </w:tcPr>
          <w:p>
            <w:pPr>
              <w:pStyle w:val="0"/>
              <w:jc w:val="both"/>
            </w:pPr>
            <w:r>
              <w:rPr>
                <w:sz w:val="20"/>
              </w:rPr>
              <w:t xml:space="preserve">89686,6</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135465,8</w:t>
            </w:r>
          </w:p>
        </w:tc>
        <w:tc>
          <w:tcPr>
            <w:tcW w:w="1144" w:type="dxa"/>
            <w:vAlign w:val="center"/>
          </w:tcPr>
          <w:p>
            <w:pPr>
              <w:pStyle w:val="0"/>
              <w:jc w:val="both"/>
            </w:pPr>
            <w:r>
              <w:rPr>
                <w:sz w:val="20"/>
              </w:rPr>
              <w:t xml:space="preserve">16217</w:t>
            </w:r>
          </w:p>
        </w:tc>
        <w:tc>
          <w:tcPr>
            <w:tcW w:w="1144" w:type="dxa"/>
            <w:vAlign w:val="center"/>
          </w:tcPr>
          <w:p>
            <w:pPr>
              <w:pStyle w:val="0"/>
              <w:jc w:val="both"/>
            </w:pPr>
            <w:r>
              <w:rPr>
                <w:sz w:val="20"/>
              </w:rPr>
              <w:t xml:space="preserve">5019</w:t>
            </w:r>
          </w:p>
        </w:tc>
        <w:tc>
          <w:tcPr>
            <w:tcW w:w="1144" w:type="dxa"/>
            <w:vAlign w:val="center"/>
          </w:tcPr>
          <w:p>
            <w:pPr>
              <w:pStyle w:val="0"/>
              <w:jc w:val="both"/>
            </w:pPr>
            <w:r>
              <w:rPr>
                <w:sz w:val="20"/>
              </w:rPr>
              <w:t xml:space="preserve">19800,8</w:t>
            </w:r>
          </w:p>
        </w:tc>
        <w:tc>
          <w:tcPr>
            <w:tcW w:w="1144" w:type="dxa"/>
            <w:vAlign w:val="center"/>
          </w:tcPr>
          <w:p>
            <w:pPr>
              <w:pStyle w:val="0"/>
              <w:jc w:val="both"/>
            </w:pPr>
            <w:r>
              <w:rPr>
                <w:sz w:val="20"/>
              </w:rPr>
              <w:t xml:space="preserve">27796,4</w:t>
            </w:r>
          </w:p>
        </w:tc>
        <w:tc>
          <w:tcPr>
            <w:tcW w:w="1024" w:type="dxa"/>
            <w:vAlign w:val="center"/>
          </w:tcPr>
          <w:p>
            <w:pPr>
              <w:pStyle w:val="0"/>
              <w:jc w:val="both"/>
            </w:pPr>
            <w:r>
              <w:rPr>
                <w:sz w:val="20"/>
              </w:rPr>
              <w:t xml:space="preserve">20853,4</w:t>
            </w:r>
          </w:p>
        </w:tc>
        <w:tc>
          <w:tcPr>
            <w:tcW w:w="1144" w:type="dxa"/>
            <w:vAlign w:val="center"/>
          </w:tcPr>
          <w:p>
            <w:pPr>
              <w:pStyle w:val="0"/>
              <w:jc w:val="both"/>
            </w:pPr>
            <w:r>
              <w:rPr>
                <w:sz w:val="20"/>
              </w:rPr>
              <w:t xml:space="preserve">89686,6</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Подпрограмма 2</w:t>
            </w:r>
          </w:p>
        </w:tc>
        <w:tc>
          <w:tcPr>
            <w:tcW w:w="2778" w:type="dxa"/>
            <w:vAlign w:val="center"/>
            <w:vMerge w:val="restart"/>
          </w:tcPr>
          <w:p>
            <w:pPr>
              <w:pStyle w:val="0"/>
            </w:pPr>
            <w:r>
              <w:rPr>
                <w:sz w:val="20"/>
              </w:rPr>
              <w:t xml:space="preserve">Развитие водохозяйственного комплекса</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1710524,94</w:t>
            </w:r>
          </w:p>
        </w:tc>
        <w:tc>
          <w:tcPr>
            <w:tcW w:w="1144" w:type="dxa"/>
            <w:vAlign w:val="center"/>
          </w:tcPr>
          <w:p>
            <w:pPr>
              <w:pStyle w:val="0"/>
              <w:jc w:val="both"/>
            </w:pPr>
            <w:r>
              <w:rPr>
                <w:sz w:val="20"/>
              </w:rPr>
              <w:t xml:space="preserve">150438,5</w:t>
            </w:r>
          </w:p>
        </w:tc>
        <w:tc>
          <w:tcPr>
            <w:tcW w:w="1144" w:type="dxa"/>
            <w:vAlign w:val="center"/>
          </w:tcPr>
          <w:p>
            <w:pPr>
              <w:pStyle w:val="0"/>
              <w:jc w:val="both"/>
            </w:pPr>
            <w:r>
              <w:rPr>
                <w:sz w:val="20"/>
              </w:rPr>
              <w:t xml:space="preserve">645156,7</w:t>
            </w:r>
          </w:p>
        </w:tc>
        <w:tc>
          <w:tcPr>
            <w:tcW w:w="1144" w:type="dxa"/>
            <w:vAlign w:val="center"/>
          </w:tcPr>
          <w:p>
            <w:pPr>
              <w:pStyle w:val="0"/>
              <w:jc w:val="both"/>
            </w:pPr>
            <w:r>
              <w:rPr>
                <w:sz w:val="20"/>
              </w:rPr>
              <w:t xml:space="preserve">576571,8</w:t>
            </w:r>
          </w:p>
        </w:tc>
        <w:tc>
          <w:tcPr>
            <w:tcW w:w="1144" w:type="dxa"/>
            <w:vAlign w:val="center"/>
          </w:tcPr>
          <w:p>
            <w:pPr>
              <w:pStyle w:val="0"/>
              <w:jc w:val="both"/>
            </w:pPr>
            <w:r>
              <w:rPr>
                <w:sz w:val="20"/>
              </w:rPr>
              <w:t xml:space="preserve">65606,2</w:t>
            </w:r>
          </w:p>
        </w:tc>
        <w:tc>
          <w:tcPr>
            <w:tcW w:w="1024" w:type="dxa"/>
            <w:vAlign w:val="center"/>
          </w:tcPr>
          <w:p>
            <w:pPr>
              <w:pStyle w:val="0"/>
              <w:jc w:val="both"/>
            </w:pPr>
            <w:r>
              <w:rPr>
                <w:sz w:val="20"/>
              </w:rPr>
              <w:t xml:space="preserve">58435,3</w:t>
            </w:r>
          </w:p>
        </w:tc>
        <w:tc>
          <w:tcPr>
            <w:tcW w:w="1144" w:type="dxa"/>
            <w:vAlign w:val="center"/>
          </w:tcPr>
          <w:p>
            <w:pPr>
              <w:pStyle w:val="0"/>
              <w:jc w:val="both"/>
            </w:pPr>
            <w:r>
              <w:rPr>
                <w:sz w:val="20"/>
              </w:rPr>
              <w:t xml:space="preserve">1496208,5</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308960</w:t>
            </w:r>
          </w:p>
        </w:tc>
        <w:tc>
          <w:tcPr>
            <w:tcW w:w="1144" w:type="dxa"/>
            <w:vAlign w:val="center"/>
          </w:tcPr>
          <w:p>
            <w:pPr>
              <w:pStyle w:val="0"/>
              <w:jc w:val="both"/>
            </w:pPr>
            <w:r>
              <w:rPr>
                <w:sz w:val="20"/>
              </w:rPr>
              <w:t xml:space="preserve">9874,8</w:t>
            </w:r>
          </w:p>
        </w:tc>
        <w:tc>
          <w:tcPr>
            <w:tcW w:w="1144" w:type="dxa"/>
            <w:vAlign w:val="center"/>
          </w:tcPr>
          <w:p>
            <w:pPr>
              <w:pStyle w:val="0"/>
              <w:jc w:val="both"/>
            </w:pPr>
            <w:r>
              <w:rPr>
                <w:sz w:val="20"/>
              </w:rPr>
              <w:t xml:space="preserve">53154,6</w:t>
            </w:r>
          </w:p>
        </w:tc>
        <w:tc>
          <w:tcPr>
            <w:tcW w:w="1144" w:type="dxa"/>
            <w:vAlign w:val="center"/>
          </w:tcPr>
          <w:p>
            <w:pPr>
              <w:pStyle w:val="0"/>
              <w:jc w:val="both"/>
            </w:pPr>
            <w:r>
              <w:rPr>
                <w:sz w:val="20"/>
              </w:rPr>
              <w:t xml:space="preserve">39763,2</w:t>
            </w:r>
          </w:p>
        </w:tc>
        <w:tc>
          <w:tcPr>
            <w:tcW w:w="1144" w:type="dxa"/>
            <w:vAlign w:val="center"/>
          </w:tcPr>
          <w:p>
            <w:pPr>
              <w:pStyle w:val="0"/>
              <w:jc w:val="both"/>
            </w:pPr>
            <w:r>
              <w:rPr>
                <w:sz w:val="20"/>
              </w:rPr>
              <w:t xml:space="preserve">31590,5</w:t>
            </w:r>
          </w:p>
        </w:tc>
        <w:tc>
          <w:tcPr>
            <w:tcW w:w="1024" w:type="dxa"/>
            <w:vAlign w:val="center"/>
          </w:tcPr>
          <w:p>
            <w:pPr>
              <w:pStyle w:val="0"/>
              <w:jc w:val="both"/>
            </w:pPr>
            <w:r>
              <w:rPr>
                <w:sz w:val="20"/>
              </w:rPr>
              <w:t xml:space="preserve">19540,6</w:t>
            </w:r>
          </w:p>
        </w:tc>
        <w:tc>
          <w:tcPr>
            <w:tcW w:w="1144" w:type="dxa"/>
            <w:vAlign w:val="center"/>
          </w:tcPr>
          <w:p>
            <w:pPr>
              <w:pStyle w:val="0"/>
              <w:jc w:val="both"/>
            </w:pPr>
            <w:r>
              <w:rPr>
                <w:sz w:val="20"/>
              </w:rPr>
              <w:t xml:space="preserve">153923,7</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1348724,1</w:t>
            </w:r>
          </w:p>
        </w:tc>
        <w:tc>
          <w:tcPr>
            <w:tcW w:w="1144" w:type="dxa"/>
            <w:vAlign w:val="center"/>
          </w:tcPr>
          <w:p>
            <w:pPr>
              <w:pStyle w:val="0"/>
              <w:jc w:val="both"/>
            </w:pPr>
            <w:r>
              <w:rPr>
                <w:sz w:val="20"/>
              </w:rPr>
              <w:t xml:space="preserve">140049,9</w:t>
            </w:r>
          </w:p>
        </w:tc>
        <w:tc>
          <w:tcPr>
            <w:tcW w:w="1144" w:type="dxa"/>
            <w:vAlign w:val="center"/>
          </w:tcPr>
          <w:p>
            <w:pPr>
              <w:pStyle w:val="0"/>
              <w:jc w:val="both"/>
            </w:pPr>
            <w:r>
              <w:rPr>
                <w:sz w:val="20"/>
              </w:rPr>
              <w:t xml:space="preserve">588057,8</w:t>
            </w:r>
          </w:p>
        </w:tc>
        <w:tc>
          <w:tcPr>
            <w:tcW w:w="1144" w:type="dxa"/>
            <w:vAlign w:val="center"/>
          </w:tcPr>
          <w:p>
            <w:pPr>
              <w:pStyle w:val="0"/>
              <w:jc w:val="both"/>
            </w:pPr>
            <w:r>
              <w:rPr>
                <w:sz w:val="20"/>
              </w:rPr>
              <w:t xml:space="preserve">535734,3</w:t>
            </w:r>
          </w:p>
        </w:tc>
        <w:tc>
          <w:tcPr>
            <w:tcW w:w="1144" w:type="dxa"/>
            <w:vAlign w:val="center"/>
          </w:tcPr>
          <w:p>
            <w:pPr>
              <w:pStyle w:val="0"/>
              <w:jc w:val="both"/>
            </w:pPr>
            <w:r>
              <w:rPr>
                <w:sz w:val="20"/>
              </w:rPr>
              <w:t xml:space="preserve">34015,7</w:t>
            </w:r>
          </w:p>
        </w:tc>
        <w:tc>
          <w:tcPr>
            <w:tcW w:w="1024" w:type="dxa"/>
            <w:vAlign w:val="center"/>
          </w:tcPr>
          <w:p>
            <w:pPr>
              <w:pStyle w:val="0"/>
              <w:jc w:val="both"/>
            </w:pPr>
            <w:r>
              <w:rPr>
                <w:sz w:val="20"/>
              </w:rPr>
              <w:t xml:space="preserve">38164,2</w:t>
            </w:r>
          </w:p>
        </w:tc>
        <w:tc>
          <w:tcPr>
            <w:tcW w:w="1144" w:type="dxa"/>
            <w:vAlign w:val="center"/>
          </w:tcPr>
          <w:p>
            <w:pPr>
              <w:pStyle w:val="0"/>
              <w:jc w:val="both"/>
            </w:pPr>
            <w:r>
              <w:rPr>
                <w:sz w:val="20"/>
              </w:rPr>
              <w:t xml:space="preserve">1336021,9</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52840,84</w:t>
            </w:r>
          </w:p>
        </w:tc>
        <w:tc>
          <w:tcPr>
            <w:tcW w:w="1144" w:type="dxa"/>
            <w:vAlign w:val="center"/>
          </w:tcPr>
          <w:p>
            <w:pPr>
              <w:pStyle w:val="0"/>
              <w:jc w:val="both"/>
            </w:pPr>
            <w:r>
              <w:rPr>
                <w:sz w:val="20"/>
              </w:rPr>
              <w:t xml:space="preserve">513,8</w:t>
            </w:r>
          </w:p>
        </w:tc>
        <w:tc>
          <w:tcPr>
            <w:tcW w:w="1144" w:type="dxa"/>
            <w:vAlign w:val="center"/>
          </w:tcPr>
          <w:p>
            <w:pPr>
              <w:pStyle w:val="0"/>
              <w:jc w:val="both"/>
            </w:pPr>
            <w:r>
              <w:rPr>
                <w:sz w:val="20"/>
              </w:rPr>
              <w:t xml:space="preserve">3944,3</w:t>
            </w:r>
          </w:p>
        </w:tc>
        <w:tc>
          <w:tcPr>
            <w:tcW w:w="1144" w:type="dxa"/>
            <w:vAlign w:val="center"/>
          </w:tcPr>
          <w:p>
            <w:pPr>
              <w:pStyle w:val="0"/>
              <w:jc w:val="both"/>
            </w:pPr>
            <w:r>
              <w:rPr>
                <w:sz w:val="20"/>
              </w:rPr>
              <w:t xml:space="preserve">1074,3</w:t>
            </w:r>
          </w:p>
        </w:tc>
        <w:tc>
          <w:tcPr>
            <w:tcW w:w="1144" w:type="dxa"/>
            <w:vAlign w:val="center"/>
          </w:tcPr>
          <w:p>
            <w:pPr>
              <w:pStyle w:val="0"/>
              <w:jc w:val="both"/>
            </w:pPr>
            <w:r>
              <w:rPr>
                <w:sz w:val="20"/>
              </w:rPr>
            </w:r>
          </w:p>
        </w:tc>
        <w:tc>
          <w:tcPr>
            <w:tcW w:w="1024" w:type="dxa"/>
            <w:vAlign w:val="center"/>
          </w:tcPr>
          <w:p>
            <w:pPr>
              <w:pStyle w:val="0"/>
              <w:jc w:val="both"/>
            </w:pPr>
            <w:r>
              <w:rPr>
                <w:sz w:val="20"/>
              </w:rPr>
              <w:t xml:space="preserve">730,5</w:t>
            </w:r>
          </w:p>
        </w:tc>
        <w:tc>
          <w:tcPr>
            <w:tcW w:w="1144" w:type="dxa"/>
            <w:vAlign w:val="center"/>
          </w:tcPr>
          <w:p>
            <w:pPr>
              <w:pStyle w:val="0"/>
              <w:jc w:val="both"/>
            </w:pPr>
            <w:r>
              <w:rPr>
                <w:sz w:val="20"/>
              </w:rPr>
              <w:t xml:space="preserve">6262,9</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2.1</w:t>
            </w:r>
          </w:p>
        </w:tc>
        <w:tc>
          <w:tcPr>
            <w:tcW w:w="2778" w:type="dxa"/>
            <w:vAlign w:val="center"/>
            <w:vMerge w:val="restart"/>
          </w:tcPr>
          <w:p>
            <w:pPr>
              <w:pStyle w:val="0"/>
            </w:pPr>
            <w:r>
              <w:rPr>
                <w:sz w:val="20"/>
              </w:rPr>
              <w:t xml:space="preserve">Осуществление органами государственной власти субъекта Российской Федерации отдельных полномочий в области водных отношений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210472</w:t>
            </w:r>
          </w:p>
        </w:tc>
        <w:tc>
          <w:tcPr>
            <w:tcW w:w="1144" w:type="dxa"/>
            <w:vAlign w:val="center"/>
          </w:tcPr>
          <w:p>
            <w:pPr>
              <w:pStyle w:val="0"/>
              <w:jc w:val="both"/>
            </w:pPr>
            <w:r>
              <w:rPr>
                <w:sz w:val="20"/>
              </w:rPr>
              <w:t xml:space="preserve">140163,6</w:t>
            </w:r>
          </w:p>
        </w:tc>
        <w:tc>
          <w:tcPr>
            <w:tcW w:w="1144" w:type="dxa"/>
            <w:vAlign w:val="center"/>
          </w:tcPr>
          <w:p>
            <w:pPr>
              <w:pStyle w:val="0"/>
              <w:jc w:val="both"/>
            </w:pPr>
            <w:r>
              <w:rPr>
                <w:sz w:val="20"/>
              </w:rPr>
              <w:t xml:space="preserve">5292</w:t>
            </w:r>
          </w:p>
        </w:tc>
        <w:tc>
          <w:tcPr>
            <w:tcW w:w="1144" w:type="dxa"/>
            <w:vAlign w:val="center"/>
          </w:tcPr>
          <w:p>
            <w:pPr>
              <w:pStyle w:val="0"/>
              <w:jc w:val="both"/>
            </w:pPr>
            <w:r>
              <w:rPr>
                <w:sz w:val="20"/>
              </w:rPr>
              <w:t xml:space="preserve">5605,3</w:t>
            </w:r>
          </w:p>
        </w:tc>
        <w:tc>
          <w:tcPr>
            <w:tcW w:w="1144" w:type="dxa"/>
            <w:vAlign w:val="center"/>
          </w:tcPr>
          <w:p>
            <w:pPr>
              <w:pStyle w:val="0"/>
              <w:jc w:val="both"/>
            </w:pPr>
            <w:r>
              <w:rPr>
                <w:sz w:val="20"/>
              </w:rPr>
              <w:t xml:space="preserve">5590,5</w:t>
            </w:r>
          </w:p>
        </w:tc>
        <w:tc>
          <w:tcPr>
            <w:tcW w:w="1024" w:type="dxa"/>
            <w:vAlign w:val="center"/>
          </w:tcPr>
          <w:p>
            <w:pPr>
              <w:pStyle w:val="0"/>
              <w:jc w:val="both"/>
            </w:pPr>
            <w:r>
              <w:rPr>
                <w:sz w:val="20"/>
              </w:rPr>
              <w:t xml:space="preserve">5590,5</w:t>
            </w:r>
          </w:p>
        </w:tc>
        <w:tc>
          <w:tcPr>
            <w:tcW w:w="1144" w:type="dxa"/>
            <w:vAlign w:val="center"/>
          </w:tcPr>
          <w:p>
            <w:pPr>
              <w:pStyle w:val="0"/>
              <w:jc w:val="both"/>
            </w:pPr>
            <w:r>
              <w:rPr>
                <w:sz w:val="20"/>
              </w:rPr>
              <w:t xml:space="preserve">162241,9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72472</w:t>
            </w:r>
          </w:p>
        </w:tc>
        <w:tc>
          <w:tcPr>
            <w:tcW w:w="1144" w:type="dxa"/>
            <w:vAlign w:val="center"/>
          </w:tcPr>
          <w:p>
            <w:pPr>
              <w:pStyle w:val="0"/>
              <w:jc w:val="both"/>
            </w:pPr>
            <w:r>
              <w:rPr>
                <w:sz w:val="20"/>
              </w:rPr>
              <w:t xml:space="preserve">2163,6</w:t>
            </w:r>
          </w:p>
        </w:tc>
        <w:tc>
          <w:tcPr>
            <w:tcW w:w="1144" w:type="dxa"/>
            <w:vAlign w:val="center"/>
          </w:tcPr>
          <w:p>
            <w:pPr>
              <w:pStyle w:val="0"/>
              <w:jc w:val="both"/>
            </w:pPr>
            <w:r>
              <w:rPr>
                <w:sz w:val="20"/>
              </w:rPr>
              <w:t xml:space="preserve">5292</w:t>
            </w:r>
          </w:p>
        </w:tc>
        <w:tc>
          <w:tcPr>
            <w:tcW w:w="1144" w:type="dxa"/>
            <w:vAlign w:val="center"/>
          </w:tcPr>
          <w:p>
            <w:pPr>
              <w:pStyle w:val="0"/>
              <w:jc w:val="both"/>
            </w:pPr>
            <w:r>
              <w:rPr>
                <w:sz w:val="20"/>
              </w:rPr>
              <w:t xml:space="preserve">5605,3</w:t>
            </w:r>
          </w:p>
        </w:tc>
        <w:tc>
          <w:tcPr>
            <w:tcW w:w="1144" w:type="dxa"/>
            <w:vAlign w:val="center"/>
          </w:tcPr>
          <w:p>
            <w:pPr>
              <w:pStyle w:val="0"/>
              <w:jc w:val="both"/>
            </w:pPr>
            <w:r>
              <w:rPr>
                <w:sz w:val="20"/>
              </w:rPr>
              <w:t xml:space="preserve">5590,5</w:t>
            </w:r>
          </w:p>
        </w:tc>
        <w:tc>
          <w:tcPr>
            <w:tcW w:w="1024" w:type="dxa"/>
            <w:vAlign w:val="center"/>
          </w:tcPr>
          <w:p>
            <w:pPr>
              <w:pStyle w:val="0"/>
              <w:jc w:val="both"/>
            </w:pPr>
            <w:r>
              <w:rPr>
                <w:sz w:val="20"/>
              </w:rPr>
              <w:t xml:space="preserve">5590,5</w:t>
            </w:r>
          </w:p>
        </w:tc>
        <w:tc>
          <w:tcPr>
            <w:tcW w:w="1144" w:type="dxa"/>
            <w:vAlign w:val="center"/>
          </w:tcPr>
          <w:p>
            <w:pPr>
              <w:pStyle w:val="0"/>
              <w:jc w:val="both"/>
            </w:pPr>
            <w:r>
              <w:rPr>
                <w:sz w:val="20"/>
              </w:rPr>
              <w:t xml:space="preserve">24241,9</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138000</w:t>
            </w:r>
          </w:p>
        </w:tc>
        <w:tc>
          <w:tcPr>
            <w:tcW w:w="1144" w:type="dxa"/>
            <w:vAlign w:val="center"/>
          </w:tcPr>
          <w:p>
            <w:pPr>
              <w:pStyle w:val="0"/>
              <w:jc w:val="both"/>
            </w:pPr>
            <w:r>
              <w:rPr>
                <w:sz w:val="20"/>
              </w:rPr>
              <w:t xml:space="preserve">138000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138000</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2.2</w:t>
            </w:r>
          </w:p>
        </w:tc>
        <w:tc>
          <w:tcPr>
            <w:tcW w:w="2778" w:type="dxa"/>
            <w:vAlign w:val="center"/>
            <w:vMerge w:val="restart"/>
          </w:tcPr>
          <w:p>
            <w:pPr>
              <w:pStyle w:val="0"/>
            </w:pPr>
            <w:r>
              <w:rPr>
                <w:sz w:val="20"/>
              </w:rPr>
              <w:t xml:space="preserve">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268925,04</w:t>
            </w:r>
          </w:p>
        </w:tc>
        <w:tc>
          <w:tcPr>
            <w:tcW w:w="1144" w:type="dxa"/>
            <w:vAlign w:val="center"/>
          </w:tcPr>
          <w:p>
            <w:pPr>
              <w:pStyle w:val="0"/>
              <w:jc w:val="both"/>
            </w:pPr>
            <w:r>
              <w:rPr>
                <w:sz w:val="20"/>
              </w:rPr>
              <w:t xml:space="preserve">10274,9</w:t>
            </w:r>
          </w:p>
        </w:tc>
        <w:tc>
          <w:tcPr>
            <w:tcW w:w="1144" w:type="dxa"/>
            <w:vAlign w:val="center"/>
          </w:tcPr>
          <w:p>
            <w:pPr>
              <w:pStyle w:val="0"/>
              <w:jc w:val="both"/>
            </w:pPr>
            <w:r>
              <w:rPr>
                <w:sz w:val="20"/>
              </w:rPr>
              <w:t xml:space="preserve">58369,2</w:t>
            </w:r>
          </w:p>
        </w:tc>
        <w:tc>
          <w:tcPr>
            <w:tcW w:w="1144" w:type="dxa"/>
            <w:vAlign w:val="center"/>
          </w:tcPr>
          <w:p>
            <w:pPr>
              <w:pStyle w:val="0"/>
              <w:jc w:val="both"/>
            </w:pPr>
            <w:r>
              <w:rPr>
                <w:sz w:val="20"/>
              </w:rPr>
              <w:t xml:space="preserve">19045,5</w:t>
            </w:r>
          </w:p>
        </w:tc>
        <w:tc>
          <w:tcPr>
            <w:tcW w:w="1144" w:type="dxa"/>
            <w:vAlign w:val="center"/>
          </w:tcPr>
          <w:p>
            <w:pPr>
              <w:pStyle w:val="0"/>
              <w:jc w:val="both"/>
            </w:pPr>
            <w:r>
              <w:rPr>
                <w:sz w:val="20"/>
              </w:rPr>
            </w:r>
          </w:p>
        </w:tc>
        <w:tc>
          <w:tcPr>
            <w:tcW w:w="1024" w:type="dxa"/>
            <w:vAlign w:val="center"/>
          </w:tcPr>
          <w:p>
            <w:pPr>
              <w:pStyle w:val="0"/>
              <w:jc w:val="both"/>
            </w:pPr>
            <w:r>
              <w:rPr>
                <w:sz w:val="20"/>
              </w:rPr>
              <w:t xml:space="preserve">15149,1</w:t>
            </w:r>
          </w:p>
        </w:tc>
        <w:tc>
          <w:tcPr>
            <w:tcW w:w="1144" w:type="dxa"/>
            <w:vAlign w:val="center"/>
          </w:tcPr>
          <w:p>
            <w:pPr>
              <w:pStyle w:val="0"/>
              <w:jc w:val="both"/>
            </w:pPr>
            <w:r>
              <w:rPr>
                <w:sz w:val="20"/>
              </w:rPr>
              <w:t xml:space="preserve">102838,7</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180348</w:t>
            </w:r>
          </w:p>
        </w:tc>
        <w:tc>
          <w:tcPr>
            <w:tcW w:w="1144" w:type="dxa"/>
            <w:vAlign w:val="center"/>
          </w:tcPr>
          <w:p>
            <w:pPr>
              <w:pStyle w:val="0"/>
              <w:jc w:val="both"/>
            </w:pPr>
            <w:r>
              <w:rPr>
                <w:sz w:val="20"/>
              </w:rPr>
              <w:t xml:space="preserve">7711,2</w:t>
            </w:r>
          </w:p>
        </w:tc>
        <w:tc>
          <w:tcPr>
            <w:tcW w:w="1144" w:type="dxa"/>
            <w:vAlign w:val="center"/>
          </w:tcPr>
          <w:p>
            <w:pPr>
              <w:pStyle w:val="0"/>
              <w:jc w:val="both"/>
            </w:pPr>
            <w:r>
              <w:rPr>
                <w:sz w:val="20"/>
              </w:rPr>
              <w:t xml:space="preserve">41362,6</w:t>
            </w:r>
          </w:p>
        </w:tc>
        <w:tc>
          <w:tcPr>
            <w:tcW w:w="1144" w:type="dxa"/>
            <w:vAlign w:val="center"/>
          </w:tcPr>
          <w:p>
            <w:pPr>
              <w:pStyle w:val="0"/>
              <w:jc w:val="both"/>
            </w:pPr>
            <w:r>
              <w:rPr>
                <w:sz w:val="20"/>
              </w:rPr>
              <w:t xml:space="preserve">13657,9</w:t>
            </w:r>
          </w:p>
        </w:tc>
        <w:tc>
          <w:tcPr>
            <w:tcW w:w="1144" w:type="dxa"/>
            <w:vAlign w:val="center"/>
          </w:tcPr>
          <w:p>
            <w:pPr>
              <w:pStyle w:val="0"/>
              <w:jc w:val="both"/>
            </w:pPr>
            <w:r>
              <w:rPr>
                <w:sz w:val="20"/>
              </w:rPr>
            </w:r>
          </w:p>
        </w:tc>
        <w:tc>
          <w:tcPr>
            <w:tcW w:w="1024" w:type="dxa"/>
            <w:vAlign w:val="center"/>
          </w:tcPr>
          <w:p>
            <w:pPr>
              <w:pStyle w:val="0"/>
              <w:jc w:val="both"/>
            </w:pPr>
            <w:r>
              <w:rPr>
                <w:sz w:val="20"/>
              </w:rPr>
              <w:t xml:space="preserve">10810,1</w:t>
            </w:r>
          </w:p>
        </w:tc>
        <w:tc>
          <w:tcPr>
            <w:tcW w:w="1144" w:type="dxa"/>
            <w:vAlign w:val="center"/>
          </w:tcPr>
          <w:p>
            <w:pPr>
              <w:pStyle w:val="0"/>
              <w:jc w:val="both"/>
            </w:pPr>
            <w:r>
              <w:rPr>
                <w:sz w:val="20"/>
              </w:rPr>
              <w:t xml:space="preserve">73541,8</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35736,2</w:t>
            </w:r>
          </w:p>
        </w:tc>
        <w:tc>
          <w:tcPr>
            <w:tcW w:w="1144" w:type="dxa"/>
            <w:vAlign w:val="center"/>
          </w:tcPr>
          <w:p>
            <w:pPr>
              <w:pStyle w:val="0"/>
              <w:jc w:val="both"/>
            </w:pPr>
            <w:r>
              <w:rPr>
                <w:sz w:val="20"/>
              </w:rPr>
              <w:t xml:space="preserve">2049,9</w:t>
            </w:r>
          </w:p>
        </w:tc>
        <w:tc>
          <w:tcPr>
            <w:tcW w:w="1144" w:type="dxa"/>
            <w:vAlign w:val="center"/>
          </w:tcPr>
          <w:p>
            <w:pPr>
              <w:pStyle w:val="0"/>
              <w:jc w:val="both"/>
            </w:pPr>
            <w:r>
              <w:rPr>
                <w:sz w:val="20"/>
              </w:rPr>
              <w:t xml:space="preserve">13062,3</w:t>
            </w:r>
          </w:p>
        </w:tc>
        <w:tc>
          <w:tcPr>
            <w:tcW w:w="1144" w:type="dxa"/>
            <w:vAlign w:val="center"/>
          </w:tcPr>
          <w:p>
            <w:pPr>
              <w:pStyle w:val="0"/>
              <w:jc w:val="both"/>
            </w:pPr>
            <w:r>
              <w:rPr>
                <w:sz w:val="20"/>
              </w:rPr>
              <w:t xml:space="preserve">4313,3</w:t>
            </w:r>
          </w:p>
        </w:tc>
        <w:tc>
          <w:tcPr>
            <w:tcW w:w="1144" w:type="dxa"/>
            <w:vAlign w:val="center"/>
          </w:tcPr>
          <w:p>
            <w:pPr>
              <w:pStyle w:val="0"/>
              <w:jc w:val="both"/>
            </w:pPr>
            <w:r>
              <w:rPr>
                <w:sz w:val="20"/>
              </w:rPr>
            </w:r>
          </w:p>
        </w:tc>
        <w:tc>
          <w:tcPr>
            <w:tcW w:w="1024" w:type="dxa"/>
            <w:vAlign w:val="center"/>
          </w:tcPr>
          <w:p>
            <w:pPr>
              <w:pStyle w:val="0"/>
              <w:jc w:val="both"/>
            </w:pPr>
            <w:r>
              <w:rPr>
                <w:sz w:val="20"/>
              </w:rPr>
              <w:t xml:space="preserve">3608,5</w:t>
            </w:r>
          </w:p>
        </w:tc>
        <w:tc>
          <w:tcPr>
            <w:tcW w:w="1144" w:type="dxa"/>
            <w:vAlign w:val="center"/>
          </w:tcPr>
          <w:p>
            <w:pPr>
              <w:pStyle w:val="0"/>
              <w:jc w:val="both"/>
            </w:pPr>
            <w:r>
              <w:rPr>
                <w:sz w:val="20"/>
              </w:rPr>
              <w:t xml:space="preserve">23034</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52840,84</w:t>
            </w:r>
          </w:p>
        </w:tc>
        <w:tc>
          <w:tcPr>
            <w:tcW w:w="1144" w:type="dxa"/>
            <w:vAlign w:val="center"/>
          </w:tcPr>
          <w:p>
            <w:pPr>
              <w:pStyle w:val="0"/>
              <w:jc w:val="both"/>
            </w:pPr>
            <w:r>
              <w:rPr>
                <w:sz w:val="20"/>
              </w:rPr>
              <w:t xml:space="preserve">513,8</w:t>
            </w:r>
          </w:p>
        </w:tc>
        <w:tc>
          <w:tcPr>
            <w:tcW w:w="1144" w:type="dxa"/>
            <w:vAlign w:val="center"/>
          </w:tcPr>
          <w:p>
            <w:pPr>
              <w:pStyle w:val="0"/>
              <w:jc w:val="both"/>
            </w:pPr>
            <w:r>
              <w:rPr>
                <w:sz w:val="20"/>
              </w:rPr>
              <w:t xml:space="preserve">3944,3</w:t>
            </w:r>
          </w:p>
        </w:tc>
        <w:tc>
          <w:tcPr>
            <w:tcW w:w="1144" w:type="dxa"/>
            <w:vAlign w:val="center"/>
          </w:tcPr>
          <w:p>
            <w:pPr>
              <w:pStyle w:val="0"/>
              <w:jc w:val="both"/>
            </w:pPr>
            <w:r>
              <w:rPr>
                <w:sz w:val="20"/>
              </w:rPr>
              <w:t xml:space="preserve">1074,3</w:t>
            </w:r>
          </w:p>
        </w:tc>
        <w:tc>
          <w:tcPr>
            <w:tcW w:w="1144" w:type="dxa"/>
            <w:vAlign w:val="center"/>
          </w:tcPr>
          <w:p>
            <w:pPr>
              <w:pStyle w:val="0"/>
              <w:jc w:val="both"/>
            </w:pPr>
            <w:r>
              <w:rPr>
                <w:sz w:val="20"/>
              </w:rPr>
            </w:r>
          </w:p>
        </w:tc>
        <w:tc>
          <w:tcPr>
            <w:tcW w:w="1024" w:type="dxa"/>
            <w:vAlign w:val="center"/>
          </w:tcPr>
          <w:p>
            <w:pPr>
              <w:pStyle w:val="0"/>
              <w:jc w:val="both"/>
            </w:pPr>
            <w:r>
              <w:rPr>
                <w:sz w:val="20"/>
              </w:rPr>
              <w:t xml:space="preserve">730,5</w:t>
            </w:r>
          </w:p>
        </w:tc>
        <w:tc>
          <w:tcPr>
            <w:tcW w:w="1144" w:type="dxa"/>
            <w:vAlign w:val="center"/>
          </w:tcPr>
          <w:p>
            <w:pPr>
              <w:pStyle w:val="0"/>
              <w:jc w:val="both"/>
            </w:pPr>
            <w:r>
              <w:rPr>
                <w:sz w:val="20"/>
              </w:rPr>
              <w:t xml:space="preserve">6262,9</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2.3</w:t>
            </w:r>
          </w:p>
        </w:tc>
        <w:tc>
          <w:tcPr>
            <w:tcW w:w="2778" w:type="dxa"/>
            <w:vAlign w:val="center"/>
            <w:vMerge w:val="restart"/>
          </w:tcPr>
          <w:p>
            <w:pPr>
              <w:pStyle w:val="0"/>
            </w:pPr>
            <w:r>
              <w:rPr>
                <w:sz w:val="20"/>
              </w:rPr>
              <w:t xml:space="preserve">Проведение мероприятий по предупреждению чрезвычайных ситуаций межмуниципального и регионального характера</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1174987,9</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574995,5</w:t>
            </w:r>
          </w:p>
        </w:tc>
        <w:tc>
          <w:tcPr>
            <w:tcW w:w="1144" w:type="dxa"/>
            <w:vAlign w:val="center"/>
          </w:tcPr>
          <w:p>
            <w:pPr>
              <w:pStyle w:val="0"/>
              <w:jc w:val="both"/>
            </w:pPr>
            <w:r>
              <w:rPr>
                <w:sz w:val="20"/>
              </w:rPr>
              <w:t xml:space="preserve">531421</w:t>
            </w:r>
          </w:p>
        </w:tc>
        <w:tc>
          <w:tcPr>
            <w:tcW w:w="1144" w:type="dxa"/>
            <w:vAlign w:val="center"/>
          </w:tcPr>
          <w:p>
            <w:pPr>
              <w:pStyle w:val="0"/>
              <w:jc w:val="both"/>
            </w:pPr>
            <w:r>
              <w:rPr>
                <w:sz w:val="20"/>
              </w:rPr>
              <w:t xml:space="preserve">34015,7</w:t>
            </w:r>
          </w:p>
        </w:tc>
        <w:tc>
          <w:tcPr>
            <w:tcW w:w="1024" w:type="dxa"/>
            <w:vAlign w:val="center"/>
          </w:tcPr>
          <w:p>
            <w:pPr>
              <w:pStyle w:val="0"/>
              <w:jc w:val="both"/>
            </w:pPr>
            <w:r>
              <w:rPr>
                <w:sz w:val="20"/>
              </w:rPr>
              <w:t xml:space="preserve">34555,7</w:t>
            </w:r>
          </w:p>
        </w:tc>
        <w:tc>
          <w:tcPr>
            <w:tcW w:w="1144" w:type="dxa"/>
            <w:vAlign w:val="center"/>
          </w:tcPr>
          <w:p>
            <w:pPr>
              <w:pStyle w:val="0"/>
              <w:jc w:val="both"/>
            </w:pPr>
            <w:r>
              <w:rPr>
                <w:sz w:val="20"/>
              </w:rPr>
              <w:t xml:space="preserve">1174987,9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1174987,9</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574995,5</w:t>
            </w:r>
          </w:p>
        </w:tc>
        <w:tc>
          <w:tcPr>
            <w:tcW w:w="1144" w:type="dxa"/>
            <w:vAlign w:val="center"/>
          </w:tcPr>
          <w:p>
            <w:pPr>
              <w:pStyle w:val="0"/>
              <w:jc w:val="both"/>
            </w:pPr>
            <w:r>
              <w:rPr>
                <w:sz w:val="20"/>
              </w:rPr>
              <w:t xml:space="preserve">531421</w:t>
            </w:r>
          </w:p>
        </w:tc>
        <w:tc>
          <w:tcPr>
            <w:tcW w:w="1144" w:type="dxa"/>
            <w:vAlign w:val="center"/>
          </w:tcPr>
          <w:p>
            <w:pPr>
              <w:pStyle w:val="0"/>
              <w:jc w:val="both"/>
            </w:pPr>
            <w:r>
              <w:rPr>
                <w:sz w:val="20"/>
              </w:rPr>
              <w:t xml:space="preserve">34015,7</w:t>
            </w:r>
          </w:p>
        </w:tc>
        <w:tc>
          <w:tcPr>
            <w:tcW w:w="1024" w:type="dxa"/>
            <w:vAlign w:val="center"/>
          </w:tcPr>
          <w:p>
            <w:pPr>
              <w:pStyle w:val="0"/>
              <w:jc w:val="both"/>
            </w:pPr>
            <w:r>
              <w:rPr>
                <w:sz w:val="20"/>
              </w:rPr>
              <w:t xml:space="preserve">34555,7</w:t>
            </w:r>
          </w:p>
        </w:tc>
        <w:tc>
          <w:tcPr>
            <w:tcW w:w="1144" w:type="dxa"/>
            <w:vAlign w:val="center"/>
          </w:tcPr>
          <w:p>
            <w:pPr>
              <w:pStyle w:val="0"/>
              <w:jc w:val="both"/>
            </w:pPr>
            <w:r>
              <w:rPr>
                <w:sz w:val="20"/>
              </w:rPr>
              <w:t xml:space="preserve">1174987,9</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Проект 2.G8</w:t>
            </w:r>
          </w:p>
        </w:tc>
        <w:tc>
          <w:tcPr>
            <w:tcW w:w="2778" w:type="dxa"/>
            <w:vAlign w:val="center"/>
            <w:vMerge w:val="restart"/>
          </w:tcPr>
          <w:p>
            <w:pPr>
              <w:pStyle w:val="0"/>
            </w:pPr>
            <w:r>
              <w:rPr>
                <w:sz w:val="20"/>
              </w:rPr>
              <w:t xml:space="preserve">Сохранение уникальных водных объектов</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56140</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6500</w:t>
            </w:r>
          </w:p>
        </w:tc>
        <w:tc>
          <w:tcPr>
            <w:tcW w:w="1144" w:type="dxa"/>
            <w:vAlign w:val="center"/>
          </w:tcPr>
          <w:p>
            <w:pPr>
              <w:pStyle w:val="0"/>
              <w:jc w:val="both"/>
            </w:pPr>
            <w:r>
              <w:rPr>
                <w:sz w:val="20"/>
              </w:rPr>
              <w:t xml:space="preserve">20500</w:t>
            </w:r>
          </w:p>
        </w:tc>
        <w:tc>
          <w:tcPr>
            <w:tcW w:w="1144" w:type="dxa"/>
            <w:vAlign w:val="center"/>
          </w:tcPr>
          <w:p>
            <w:pPr>
              <w:pStyle w:val="0"/>
              <w:jc w:val="both"/>
            </w:pPr>
            <w:r>
              <w:rPr>
                <w:sz w:val="20"/>
              </w:rPr>
              <w:t xml:space="preserve">26000</w:t>
            </w:r>
          </w:p>
        </w:tc>
        <w:tc>
          <w:tcPr>
            <w:tcW w:w="1024" w:type="dxa"/>
            <w:vAlign w:val="center"/>
          </w:tcPr>
          <w:p>
            <w:pPr>
              <w:pStyle w:val="0"/>
              <w:jc w:val="both"/>
            </w:pPr>
            <w:r>
              <w:rPr>
                <w:sz w:val="20"/>
              </w:rPr>
              <w:t xml:space="preserve">3140</w:t>
            </w:r>
          </w:p>
        </w:tc>
        <w:tc>
          <w:tcPr>
            <w:tcW w:w="1144" w:type="dxa"/>
            <w:vAlign w:val="center"/>
          </w:tcPr>
          <w:p>
            <w:pPr>
              <w:pStyle w:val="0"/>
              <w:jc w:val="both"/>
            </w:pPr>
            <w:r>
              <w:rPr>
                <w:sz w:val="20"/>
              </w:rPr>
              <w:t xml:space="preserve">56140</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56140</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6500</w:t>
            </w:r>
          </w:p>
        </w:tc>
        <w:tc>
          <w:tcPr>
            <w:tcW w:w="1144" w:type="dxa"/>
            <w:vAlign w:val="center"/>
          </w:tcPr>
          <w:p>
            <w:pPr>
              <w:pStyle w:val="0"/>
              <w:jc w:val="both"/>
            </w:pPr>
            <w:r>
              <w:rPr>
                <w:sz w:val="20"/>
              </w:rPr>
              <w:t xml:space="preserve">20500</w:t>
            </w:r>
          </w:p>
        </w:tc>
        <w:tc>
          <w:tcPr>
            <w:tcW w:w="1144" w:type="dxa"/>
            <w:vAlign w:val="center"/>
          </w:tcPr>
          <w:p>
            <w:pPr>
              <w:pStyle w:val="0"/>
              <w:jc w:val="both"/>
            </w:pPr>
            <w:r>
              <w:rPr>
                <w:sz w:val="20"/>
              </w:rPr>
              <w:t xml:space="preserve">26000</w:t>
            </w:r>
          </w:p>
        </w:tc>
        <w:tc>
          <w:tcPr>
            <w:tcW w:w="1024" w:type="dxa"/>
            <w:vAlign w:val="center"/>
          </w:tcPr>
          <w:p>
            <w:pPr>
              <w:pStyle w:val="0"/>
              <w:jc w:val="both"/>
            </w:pPr>
            <w:r>
              <w:rPr>
                <w:sz w:val="20"/>
              </w:rPr>
              <w:t xml:space="preserve">3140</w:t>
            </w:r>
          </w:p>
        </w:tc>
        <w:tc>
          <w:tcPr>
            <w:tcW w:w="1144" w:type="dxa"/>
            <w:vAlign w:val="center"/>
          </w:tcPr>
          <w:p>
            <w:pPr>
              <w:pStyle w:val="0"/>
              <w:jc w:val="both"/>
            </w:pPr>
            <w:r>
              <w:rPr>
                <w:sz w:val="20"/>
              </w:rPr>
              <w:t xml:space="preserve">56140</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Подпрограмма 3</w:t>
            </w:r>
          </w:p>
        </w:tc>
        <w:tc>
          <w:tcPr>
            <w:tcW w:w="2778" w:type="dxa"/>
            <w:vAlign w:val="center"/>
            <w:vMerge w:val="restart"/>
          </w:tcPr>
          <w:p>
            <w:pPr>
              <w:pStyle w:val="0"/>
            </w:pPr>
            <w:r>
              <w:rPr>
                <w:sz w:val="20"/>
              </w:rPr>
              <w:t xml:space="preserve">Охрана окружающей среды и рациональное природопользование</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378591,3</w:t>
            </w:r>
          </w:p>
        </w:tc>
        <w:tc>
          <w:tcPr>
            <w:tcW w:w="1144" w:type="dxa"/>
            <w:vAlign w:val="center"/>
          </w:tcPr>
          <w:p>
            <w:pPr>
              <w:pStyle w:val="0"/>
              <w:jc w:val="both"/>
            </w:pPr>
            <w:r>
              <w:rPr>
                <w:sz w:val="20"/>
              </w:rPr>
              <w:t xml:space="preserve">7290,9</w:t>
            </w:r>
          </w:p>
        </w:tc>
        <w:tc>
          <w:tcPr>
            <w:tcW w:w="1144" w:type="dxa"/>
            <w:vAlign w:val="center"/>
          </w:tcPr>
          <w:p>
            <w:pPr>
              <w:pStyle w:val="0"/>
              <w:jc w:val="both"/>
            </w:pPr>
            <w:r>
              <w:rPr>
                <w:sz w:val="20"/>
              </w:rPr>
              <w:t xml:space="preserve">90125,1</w:t>
            </w:r>
          </w:p>
        </w:tc>
        <w:tc>
          <w:tcPr>
            <w:tcW w:w="1144" w:type="dxa"/>
            <w:vAlign w:val="center"/>
          </w:tcPr>
          <w:p>
            <w:pPr>
              <w:pStyle w:val="0"/>
              <w:jc w:val="both"/>
            </w:pPr>
            <w:r>
              <w:rPr>
                <w:sz w:val="20"/>
              </w:rPr>
              <w:t xml:space="preserve">88793,6</w:t>
            </w:r>
          </w:p>
        </w:tc>
        <w:tc>
          <w:tcPr>
            <w:tcW w:w="1144" w:type="dxa"/>
            <w:vAlign w:val="center"/>
          </w:tcPr>
          <w:p>
            <w:pPr>
              <w:pStyle w:val="0"/>
              <w:jc w:val="both"/>
            </w:pPr>
            <w:r>
              <w:rPr>
                <w:sz w:val="20"/>
              </w:rPr>
              <w:t xml:space="preserve">63722,5</w:t>
            </w:r>
          </w:p>
        </w:tc>
        <w:tc>
          <w:tcPr>
            <w:tcW w:w="1024" w:type="dxa"/>
            <w:vAlign w:val="center"/>
          </w:tcPr>
          <w:p>
            <w:pPr>
              <w:pStyle w:val="0"/>
              <w:jc w:val="both"/>
            </w:pPr>
            <w:r>
              <w:rPr>
                <w:sz w:val="20"/>
              </w:rPr>
              <w:t xml:space="preserve">61222,5</w:t>
            </w:r>
          </w:p>
        </w:tc>
        <w:tc>
          <w:tcPr>
            <w:tcW w:w="1144" w:type="dxa"/>
            <w:vAlign w:val="center"/>
          </w:tcPr>
          <w:p>
            <w:pPr>
              <w:pStyle w:val="0"/>
              <w:jc w:val="both"/>
            </w:pPr>
            <w:r>
              <w:rPr>
                <w:sz w:val="20"/>
              </w:rPr>
              <w:t xml:space="preserve">310996,1</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360002,9</w:t>
            </w:r>
          </w:p>
        </w:tc>
        <w:tc>
          <w:tcPr>
            <w:tcW w:w="1144" w:type="dxa"/>
            <w:vAlign w:val="center"/>
          </w:tcPr>
          <w:p>
            <w:pPr>
              <w:pStyle w:val="0"/>
              <w:jc w:val="both"/>
            </w:pPr>
            <w:r>
              <w:rPr>
                <w:sz w:val="20"/>
              </w:rPr>
              <w:t xml:space="preserve">6345,6</w:t>
            </w:r>
          </w:p>
        </w:tc>
        <w:tc>
          <w:tcPr>
            <w:tcW w:w="1144" w:type="dxa"/>
            <w:vAlign w:val="center"/>
          </w:tcPr>
          <w:p>
            <w:pPr>
              <w:pStyle w:val="0"/>
              <w:jc w:val="both"/>
            </w:pPr>
            <w:r>
              <w:rPr>
                <w:sz w:val="20"/>
              </w:rPr>
              <w:t xml:space="preserve">89727,6</w:t>
            </w:r>
          </w:p>
        </w:tc>
        <w:tc>
          <w:tcPr>
            <w:tcW w:w="1144" w:type="dxa"/>
            <w:vAlign w:val="center"/>
          </w:tcPr>
          <w:p>
            <w:pPr>
              <w:pStyle w:val="0"/>
              <w:jc w:val="both"/>
            </w:pPr>
            <w:r>
              <w:rPr>
                <w:sz w:val="20"/>
              </w:rPr>
              <w:t xml:space="preserve">87249,6</w:t>
            </w:r>
          </w:p>
        </w:tc>
        <w:tc>
          <w:tcPr>
            <w:tcW w:w="1144" w:type="dxa"/>
            <w:vAlign w:val="center"/>
          </w:tcPr>
          <w:p>
            <w:pPr>
              <w:pStyle w:val="0"/>
              <w:jc w:val="both"/>
            </w:pPr>
            <w:r>
              <w:rPr>
                <w:sz w:val="20"/>
              </w:rPr>
              <w:t xml:space="preserve">62178,5</w:t>
            </w:r>
          </w:p>
        </w:tc>
        <w:tc>
          <w:tcPr>
            <w:tcW w:w="1024" w:type="dxa"/>
            <w:vAlign w:val="center"/>
          </w:tcPr>
          <w:p>
            <w:pPr>
              <w:pStyle w:val="0"/>
              <w:jc w:val="both"/>
            </w:pPr>
            <w:r>
              <w:rPr>
                <w:sz w:val="20"/>
              </w:rPr>
              <w:t xml:space="preserve">59678,5</w:t>
            </w:r>
          </w:p>
        </w:tc>
        <w:tc>
          <w:tcPr>
            <w:tcW w:w="1144" w:type="dxa"/>
            <w:vAlign w:val="center"/>
          </w:tcPr>
          <w:p>
            <w:pPr>
              <w:pStyle w:val="0"/>
              <w:jc w:val="both"/>
            </w:pPr>
            <w:r>
              <w:rPr>
                <w:sz w:val="20"/>
              </w:rPr>
              <w:t xml:space="preserve">305021,3</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18588,4</w:t>
            </w:r>
          </w:p>
        </w:tc>
        <w:tc>
          <w:tcPr>
            <w:tcW w:w="1144" w:type="dxa"/>
            <w:vAlign w:val="center"/>
          </w:tcPr>
          <w:p>
            <w:pPr>
              <w:pStyle w:val="0"/>
              <w:jc w:val="both"/>
            </w:pPr>
            <w:r>
              <w:rPr>
                <w:sz w:val="20"/>
              </w:rPr>
              <w:t xml:space="preserve">945,3</w:t>
            </w:r>
          </w:p>
        </w:tc>
        <w:tc>
          <w:tcPr>
            <w:tcW w:w="1144" w:type="dxa"/>
            <w:vAlign w:val="center"/>
          </w:tcPr>
          <w:p>
            <w:pPr>
              <w:pStyle w:val="0"/>
              <w:jc w:val="both"/>
            </w:pPr>
            <w:r>
              <w:rPr>
                <w:sz w:val="20"/>
              </w:rPr>
              <w:t xml:space="preserve">397,5</w:t>
            </w:r>
          </w:p>
        </w:tc>
        <w:tc>
          <w:tcPr>
            <w:tcW w:w="1144" w:type="dxa"/>
            <w:vAlign w:val="center"/>
          </w:tcPr>
          <w:p>
            <w:pPr>
              <w:pStyle w:val="0"/>
              <w:jc w:val="both"/>
            </w:pPr>
            <w:r>
              <w:rPr>
                <w:sz w:val="20"/>
              </w:rPr>
              <w:t xml:space="preserve">1544</w:t>
            </w:r>
          </w:p>
        </w:tc>
        <w:tc>
          <w:tcPr>
            <w:tcW w:w="1144" w:type="dxa"/>
            <w:vAlign w:val="center"/>
          </w:tcPr>
          <w:p>
            <w:pPr>
              <w:pStyle w:val="0"/>
              <w:jc w:val="both"/>
            </w:pPr>
            <w:r>
              <w:rPr>
                <w:sz w:val="20"/>
              </w:rPr>
              <w:t xml:space="preserve">1544</w:t>
            </w:r>
          </w:p>
        </w:tc>
        <w:tc>
          <w:tcPr>
            <w:tcW w:w="1024" w:type="dxa"/>
            <w:vAlign w:val="center"/>
          </w:tcPr>
          <w:p>
            <w:pPr>
              <w:pStyle w:val="0"/>
              <w:jc w:val="both"/>
            </w:pPr>
            <w:r>
              <w:rPr>
                <w:sz w:val="20"/>
              </w:rPr>
              <w:t xml:space="preserve">1544</w:t>
            </w:r>
          </w:p>
        </w:tc>
        <w:tc>
          <w:tcPr>
            <w:tcW w:w="1144" w:type="dxa"/>
            <w:vAlign w:val="center"/>
          </w:tcPr>
          <w:p>
            <w:pPr>
              <w:pStyle w:val="0"/>
              <w:jc w:val="both"/>
            </w:pPr>
            <w:r>
              <w:rPr>
                <w:sz w:val="20"/>
              </w:rPr>
              <w:t xml:space="preserve">5974,8</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3.1</w:t>
            </w:r>
          </w:p>
        </w:tc>
        <w:tc>
          <w:tcPr>
            <w:tcW w:w="2778" w:type="dxa"/>
            <w:vAlign w:val="center"/>
            <w:vMerge w:val="restart"/>
          </w:tcPr>
          <w:p>
            <w:pPr>
              <w:pStyle w:val="0"/>
            </w:pPr>
            <w:r>
              <w:rPr>
                <w:sz w:val="20"/>
              </w:rPr>
              <w:t xml:space="preserve">Охрана окружающей среды и рациональное природопользование</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128509,9</w:t>
            </w:r>
          </w:p>
        </w:tc>
        <w:tc>
          <w:tcPr>
            <w:tcW w:w="1144" w:type="dxa"/>
            <w:vAlign w:val="center"/>
          </w:tcPr>
          <w:p>
            <w:pPr>
              <w:pStyle w:val="0"/>
              <w:jc w:val="both"/>
            </w:pPr>
            <w:r>
              <w:rPr>
                <w:sz w:val="20"/>
              </w:rPr>
              <w:t xml:space="preserve">4140</w:t>
            </w:r>
          </w:p>
        </w:tc>
        <w:tc>
          <w:tcPr>
            <w:tcW w:w="1144" w:type="dxa"/>
            <w:vAlign w:val="center"/>
          </w:tcPr>
          <w:p>
            <w:pPr>
              <w:pStyle w:val="0"/>
              <w:jc w:val="both"/>
            </w:pPr>
            <w:r>
              <w:rPr>
                <w:sz w:val="20"/>
              </w:rPr>
              <w:t xml:space="preserve">29014,3</w:t>
            </w:r>
          </w:p>
        </w:tc>
        <w:tc>
          <w:tcPr>
            <w:tcW w:w="1144" w:type="dxa"/>
            <w:vAlign w:val="center"/>
          </w:tcPr>
          <w:p>
            <w:pPr>
              <w:pStyle w:val="0"/>
              <w:jc w:val="both"/>
            </w:pPr>
            <w:r>
              <w:rPr>
                <w:sz w:val="20"/>
              </w:rPr>
              <w:t xml:space="preserve">27685,6</w:t>
            </w:r>
          </w:p>
        </w:tc>
        <w:tc>
          <w:tcPr>
            <w:tcW w:w="1144" w:type="dxa"/>
            <w:vAlign w:val="center"/>
          </w:tcPr>
          <w:p>
            <w:pPr>
              <w:pStyle w:val="0"/>
              <w:jc w:val="both"/>
            </w:pPr>
            <w:r>
              <w:rPr>
                <w:sz w:val="20"/>
              </w:rPr>
              <w:t xml:space="preserve">28745,1</w:t>
            </w:r>
          </w:p>
        </w:tc>
        <w:tc>
          <w:tcPr>
            <w:tcW w:w="1024" w:type="dxa"/>
            <w:vAlign w:val="center"/>
          </w:tcPr>
          <w:p>
            <w:pPr>
              <w:pStyle w:val="0"/>
              <w:jc w:val="both"/>
            </w:pPr>
            <w:r>
              <w:rPr>
                <w:sz w:val="20"/>
              </w:rPr>
              <w:t xml:space="preserve">29800,8</w:t>
            </w:r>
          </w:p>
        </w:tc>
        <w:tc>
          <w:tcPr>
            <w:tcW w:w="1144" w:type="dxa"/>
            <w:vAlign w:val="center"/>
          </w:tcPr>
          <w:p>
            <w:pPr>
              <w:pStyle w:val="0"/>
              <w:jc w:val="both"/>
            </w:pPr>
            <w:r>
              <w:rPr>
                <w:sz w:val="20"/>
              </w:rPr>
              <w:t xml:space="preserve">119227,3</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128509,9</w:t>
            </w:r>
          </w:p>
        </w:tc>
        <w:tc>
          <w:tcPr>
            <w:tcW w:w="1144" w:type="dxa"/>
            <w:vAlign w:val="center"/>
          </w:tcPr>
          <w:p>
            <w:pPr>
              <w:pStyle w:val="0"/>
              <w:jc w:val="both"/>
            </w:pPr>
            <w:r>
              <w:rPr>
                <w:sz w:val="20"/>
              </w:rPr>
              <w:t xml:space="preserve">4140</w:t>
            </w:r>
          </w:p>
        </w:tc>
        <w:tc>
          <w:tcPr>
            <w:tcW w:w="1144" w:type="dxa"/>
            <w:vAlign w:val="center"/>
          </w:tcPr>
          <w:p>
            <w:pPr>
              <w:pStyle w:val="0"/>
              <w:jc w:val="both"/>
            </w:pPr>
            <w:r>
              <w:rPr>
                <w:sz w:val="20"/>
              </w:rPr>
              <w:t xml:space="preserve">29014,3</w:t>
            </w:r>
          </w:p>
        </w:tc>
        <w:tc>
          <w:tcPr>
            <w:tcW w:w="1144" w:type="dxa"/>
            <w:vAlign w:val="center"/>
          </w:tcPr>
          <w:p>
            <w:pPr>
              <w:pStyle w:val="0"/>
              <w:jc w:val="both"/>
            </w:pPr>
            <w:r>
              <w:rPr>
                <w:sz w:val="20"/>
              </w:rPr>
              <w:t xml:space="preserve">27685,6</w:t>
            </w:r>
          </w:p>
        </w:tc>
        <w:tc>
          <w:tcPr>
            <w:tcW w:w="1144" w:type="dxa"/>
            <w:vAlign w:val="center"/>
          </w:tcPr>
          <w:p>
            <w:pPr>
              <w:pStyle w:val="0"/>
              <w:jc w:val="both"/>
            </w:pPr>
            <w:r>
              <w:rPr>
                <w:sz w:val="20"/>
              </w:rPr>
              <w:t xml:space="preserve">28745,1</w:t>
            </w:r>
          </w:p>
        </w:tc>
        <w:tc>
          <w:tcPr>
            <w:tcW w:w="1024" w:type="dxa"/>
            <w:vAlign w:val="center"/>
          </w:tcPr>
          <w:p>
            <w:pPr>
              <w:pStyle w:val="0"/>
              <w:jc w:val="both"/>
            </w:pPr>
            <w:r>
              <w:rPr>
                <w:sz w:val="20"/>
              </w:rPr>
              <w:t xml:space="preserve">29800,8</w:t>
            </w:r>
          </w:p>
        </w:tc>
        <w:tc>
          <w:tcPr>
            <w:tcW w:w="1144" w:type="dxa"/>
            <w:vAlign w:val="center"/>
          </w:tcPr>
          <w:p>
            <w:pPr>
              <w:pStyle w:val="0"/>
              <w:jc w:val="both"/>
            </w:pPr>
            <w:r>
              <w:rPr>
                <w:sz w:val="20"/>
              </w:rPr>
              <w:t xml:space="preserve">119227,3</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3.2</w:t>
            </w:r>
          </w:p>
        </w:tc>
        <w:tc>
          <w:tcPr>
            <w:tcW w:w="2778" w:type="dxa"/>
            <w:vAlign w:val="center"/>
            <w:vMerge w:val="restart"/>
          </w:tcPr>
          <w:p>
            <w:pPr>
              <w:pStyle w:val="0"/>
            </w:pPr>
            <w:r>
              <w:rPr>
                <w:sz w:val="20"/>
              </w:rPr>
              <w:t xml:space="preserve">Субсидии на разработку научно обоснованных проектов бассейнового природопользования</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966,0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483,0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483,0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3.3</w:t>
            </w:r>
          </w:p>
        </w:tc>
        <w:tc>
          <w:tcPr>
            <w:tcW w:w="2778" w:type="dxa"/>
            <w:vAlign w:val="center"/>
            <w:vMerge w:val="restart"/>
          </w:tcPr>
          <w:p>
            <w:pPr>
              <w:pStyle w:val="0"/>
            </w:pPr>
            <w:r>
              <w:rPr>
                <w:sz w:val="20"/>
              </w:rPr>
              <w:t xml:space="preserve">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49296,8</w:t>
            </w:r>
          </w:p>
        </w:tc>
        <w:tc>
          <w:tcPr>
            <w:tcW w:w="1144" w:type="dxa"/>
            <w:vAlign w:val="center"/>
          </w:tcPr>
          <w:p>
            <w:pPr>
              <w:pStyle w:val="0"/>
              <w:jc w:val="both"/>
            </w:pPr>
            <w:r>
              <w:rPr>
                <w:sz w:val="20"/>
              </w:rPr>
              <w:t xml:space="preserve">3150,9</w:t>
            </w:r>
          </w:p>
        </w:tc>
        <w:tc>
          <w:tcPr>
            <w:tcW w:w="1144" w:type="dxa"/>
            <w:vAlign w:val="center"/>
          </w:tcPr>
          <w:p>
            <w:pPr>
              <w:pStyle w:val="0"/>
              <w:jc w:val="both"/>
            </w:pPr>
            <w:r>
              <w:rPr>
                <w:sz w:val="20"/>
              </w:rPr>
              <w:t xml:space="preserve">1324,9</w:t>
            </w:r>
          </w:p>
        </w:tc>
        <w:tc>
          <w:tcPr>
            <w:tcW w:w="1144" w:type="dxa"/>
            <w:vAlign w:val="center"/>
          </w:tcPr>
          <w:p>
            <w:pPr>
              <w:pStyle w:val="0"/>
              <w:jc w:val="both"/>
            </w:pPr>
            <w:r>
              <w:rPr>
                <w:sz w:val="20"/>
              </w:rPr>
              <w:t xml:space="preserve">5144</w:t>
            </w:r>
          </w:p>
        </w:tc>
        <w:tc>
          <w:tcPr>
            <w:tcW w:w="1144" w:type="dxa"/>
            <w:vAlign w:val="center"/>
          </w:tcPr>
          <w:p>
            <w:pPr>
              <w:pStyle w:val="0"/>
              <w:jc w:val="both"/>
            </w:pPr>
            <w:r>
              <w:rPr>
                <w:sz w:val="20"/>
              </w:rPr>
              <w:t xml:space="preserve">5144</w:t>
            </w:r>
          </w:p>
        </w:tc>
        <w:tc>
          <w:tcPr>
            <w:tcW w:w="1024" w:type="dxa"/>
            <w:vAlign w:val="center"/>
          </w:tcPr>
          <w:p>
            <w:pPr>
              <w:pStyle w:val="0"/>
              <w:jc w:val="both"/>
            </w:pPr>
            <w:r>
              <w:rPr>
                <w:sz w:val="20"/>
              </w:rPr>
              <w:t xml:space="preserve">5144</w:t>
            </w:r>
          </w:p>
        </w:tc>
        <w:tc>
          <w:tcPr>
            <w:tcW w:w="1144" w:type="dxa"/>
            <w:vAlign w:val="center"/>
          </w:tcPr>
          <w:p>
            <w:pPr>
              <w:pStyle w:val="0"/>
              <w:jc w:val="both"/>
            </w:pPr>
            <w:r>
              <w:rPr>
                <w:sz w:val="20"/>
              </w:rPr>
              <w:t xml:space="preserve">19907,8</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33989</w:t>
            </w:r>
          </w:p>
        </w:tc>
        <w:tc>
          <w:tcPr>
            <w:tcW w:w="1144" w:type="dxa"/>
            <w:vAlign w:val="center"/>
          </w:tcPr>
          <w:p>
            <w:pPr>
              <w:pStyle w:val="0"/>
              <w:jc w:val="both"/>
            </w:pPr>
            <w:r>
              <w:rPr>
                <w:sz w:val="20"/>
              </w:rPr>
              <w:t xml:space="preserve">2205,6</w:t>
            </w:r>
          </w:p>
        </w:tc>
        <w:tc>
          <w:tcPr>
            <w:tcW w:w="1144" w:type="dxa"/>
            <w:vAlign w:val="center"/>
          </w:tcPr>
          <w:p>
            <w:pPr>
              <w:pStyle w:val="0"/>
              <w:jc w:val="both"/>
            </w:pPr>
            <w:r>
              <w:rPr>
                <w:sz w:val="20"/>
              </w:rPr>
              <w:t xml:space="preserve">927,4</w:t>
            </w:r>
          </w:p>
        </w:tc>
        <w:tc>
          <w:tcPr>
            <w:tcW w:w="1144" w:type="dxa"/>
            <w:vAlign w:val="center"/>
          </w:tcPr>
          <w:p>
            <w:pPr>
              <w:pStyle w:val="0"/>
              <w:jc w:val="both"/>
            </w:pPr>
            <w:r>
              <w:rPr>
                <w:sz w:val="20"/>
              </w:rPr>
              <w:t xml:space="preserve">3600</w:t>
            </w:r>
          </w:p>
        </w:tc>
        <w:tc>
          <w:tcPr>
            <w:tcW w:w="1144" w:type="dxa"/>
            <w:vAlign w:val="center"/>
          </w:tcPr>
          <w:p>
            <w:pPr>
              <w:pStyle w:val="0"/>
              <w:jc w:val="both"/>
            </w:pPr>
            <w:r>
              <w:rPr>
                <w:sz w:val="20"/>
              </w:rPr>
              <w:t xml:space="preserve">3600</w:t>
            </w:r>
          </w:p>
        </w:tc>
        <w:tc>
          <w:tcPr>
            <w:tcW w:w="1024" w:type="dxa"/>
            <w:vAlign w:val="center"/>
          </w:tcPr>
          <w:p>
            <w:pPr>
              <w:pStyle w:val="0"/>
              <w:jc w:val="both"/>
            </w:pPr>
            <w:r>
              <w:rPr>
                <w:sz w:val="20"/>
              </w:rPr>
              <w:t xml:space="preserve">3600</w:t>
            </w:r>
          </w:p>
        </w:tc>
        <w:tc>
          <w:tcPr>
            <w:tcW w:w="1144" w:type="dxa"/>
            <w:vAlign w:val="center"/>
          </w:tcPr>
          <w:p>
            <w:pPr>
              <w:pStyle w:val="0"/>
              <w:jc w:val="both"/>
            </w:pPr>
            <w:r>
              <w:rPr>
                <w:sz w:val="20"/>
              </w:rPr>
              <w:t xml:space="preserve">13933</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15307,8</w:t>
            </w:r>
          </w:p>
        </w:tc>
        <w:tc>
          <w:tcPr>
            <w:tcW w:w="1144" w:type="dxa"/>
            <w:vAlign w:val="center"/>
          </w:tcPr>
          <w:p>
            <w:pPr>
              <w:pStyle w:val="0"/>
              <w:jc w:val="both"/>
            </w:pPr>
            <w:r>
              <w:rPr>
                <w:sz w:val="20"/>
              </w:rPr>
              <w:t xml:space="preserve">945,3</w:t>
            </w:r>
          </w:p>
        </w:tc>
        <w:tc>
          <w:tcPr>
            <w:tcW w:w="1144" w:type="dxa"/>
            <w:vAlign w:val="center"/>
          </w:tcPr>
          <w:p>
            <w:pPr>
              <w:pStyle w:val="0"/>
              <w:jc w:val="both"/>
            </w:pPr>
            <w:r>
              <w:rPr>
                <w:sz w:val="20"/>
              </w:rPr>
              <w:t xml:space="preserve">397,5</w:t>
            </w:r>
          </w:p>
        </w:tc>
        <w:tc>
          <w:tcPr>
            <w:tcW w:w="1144" w:type="dxa"/>
            <w:vAlign w:val="center"/>
          </w:tcPr>
          <w:p>
            <w:pPr>
              <w:pStyle w:val="0"/>
              <w:jc w:val="both"/>
            </w:pPr>
            <w:r>
              <w:rPr>
                <w:sz w:val="20"/>
              </w:rPr>
              <w:t xml:space="preserve">1544</w:t>
            </w:r>
          </w:p>
        </w:tc>
        <w:tc>
          <w:tcPr>
            <w:tcW w:w="1144" w:type="dxa"/>
            <w:vAlign w:val="center"/>
          </w:tcPr>
          <w:p>
            <w:pPr>
              <w:pStyle w:val="0"/>
              <w:jc w:val="both"/>
            </w:pPr>
            <w:r>
              <w:rPr>
                <w:sz w:val="20"/>
              </w:rPr>
              <w:t xml:space="preserve">1544</w:t>
            </w:r>
          </w:p>
        </w:tc>
        <w:tc>
          <w:tcPr>
            <w:tcW w:w="1024" w:type="dxa"/>
            <w:vAlign w:val="center"/>
          </w:tcPr>
          <w:p>
            <w:pPr>
              <w:pStyle w:val="0"/>
              <w:jc w:val="both"/>
            </w:pPr>
            <w:r>
              <w:rPr>
                <w:sz w:val="20"/>
              </w:rPr>
              <w:t xml:space="preserve">1544</w:t>
            </w:r>
          </w:p>
        </w:tc>
        <w:tc>
          <w:tcPr>
            <w:tcW w:w="1144" w:type="dxa"/>
            <w:vAlign w:val="center"/>
          </w:tcPr>
          <w:p>
            <w:pPr>
              <w:pStyle w:val="0"/>
              <w:jc w:val="both"/>
            </w:pPr>
            <w:r>
              <w:rPr>
                <w:sz w:val="20"/>
              </w:rPr>
              <w:t xml:space="preserve">5974,8</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3.4</w:t>
            </w:r>
          </w:p>
        </w:tc>
        <w:tc>
          <w:tcPr>
            <w:tcW w:w="2778" w:type="dxa"/>
            <w:vAlign w:val="center"/>
            <w:vMerge w:val="restart"/>
          </w:tcPr>
          <w:p>
            <w:pPr>
              <w:pStyle w:val="0"/>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27957,6</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25160,0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2797,6</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3.5</w:t>
            </w:r>
          </w:p>
        </w:tc>
        <w:tc>
          <w:tcPr>
            <w:tcW w:w="2778" w:type="dxa"/>
            <w:vAlign w:val="center"/>
            <w:vMerge w:val="restart"/>
          </w:tcPr>
          <w:p>
            <w:pPr>
              <w:pStyle w:val="0"/>
            </w:pPr>
            <w:r>
              <w:rPr>
                <w:sz w:val="20"/>
              </w:rPr>
              <w:t xml:space="preserve">Разработка и реализация инновационных проектов в области охраны окружающей среды</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171861</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59785,9</w:t>
            </w:r>
          </w:p>
        </w:tc>
        <w:tc>
          <w:tcPr>
            <w:tcW w:w="1144" w:type="dxa"/>
            <w:vAlign w:val="center"/>
          </w:tcPr>
          <w:p>
            <w:pPr>
              <w:pStyle w:val="0"/>
              <w:jc w:val="both"/>
            </w:pPr>
            <w:r>
              <w:rPr>
                <w:sz w:val="20"/>
              </w:rPr>
              <w:t xml:space="preserve">55964</w:t>
            </w:r>
          </w:p>
        </w:tc>
        <w:tc>
          <w:tcPr>
            <w:tcW w:w="1144" w:type="dxa"/>
            <w:vAlign w:val="center"/>
          </w:tcPr>
          <w:p>
            <w:pPr>
              <w:pStyle w:val="0"/>
              <w:jc w:val="both"/>
            </w:pPr>
            <w:r>
              <w:rPr>
                <w:sz w:val="20"/>
              </w:rPr>
              <w:t xml:space="preserve">29833,4</w:t>
            </w:r>
          </w:p>
        </w:tc>
        <w:tc>
          <w:tcPr>
            <w:tcW w:w="1024" w:type="dxa"/>
            <w:vAlign w:val="center"/>
          </w:tcPr>
          <w:p>
            <w:pPr>
              <w:pStyle w:val="0"/>
              <w:jc w:val="both"/>
            </w:pPr>
            <w:r>
              <w:rPr>
                <w:sz w:val="20"/>
              </w:rPr>
              <w:t xml:space="preserve">26277,7</w:t>
            </w:r>
          </w:p>
        </w:tc>
        <w:tc>
          <w:tcPr>
            <w:tcW w:w="1144" w:type="dxa"/>
            <w:vAlign w:val="center"/>
          </w:tcPr>
          <w:p>
            <w:pPr>
              <w:pStyle w:val="0"/>
              <w:jc w:val="both"/>
            </w:pPr>
            <w:r>
              <w:rPr>
                <w:sz w:val="20"/>
              </w:rPr>
              <w:t xml:space="preserve">171861</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171861</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59785,9</w:t>
            </w:r>
          </w:p>
        </w:tc>
        <w:tc>
          <w:tcPr>
            <w:tcW w:w="1144" w:type="dxa"/>
            <w:vAlign w:val="center"/>
          </w:tcPr>
          <w:p>
            <w:pPr>
              <w:pStyle w:val="0"/>
              <w:jc w:val="both"/>
            </w:pPr>
            <w:r>
              <w:rPr>
                <w:sz w:val="20"/>
              </w:rPr>
              <w:t xml:space="preserve">55964</w:t>
            </w:r>
          </w:p>
        </w:tc>
        <w:tc>
          <w:tcPr>
            <w:tcW w:w="1144" w:type="dxa"/>
            <w:vAlign w:val="center"/>
          </w:tcPr>
          <w:p>
            <w:pPr>
              <w:pStyle w:val="0"/>
              <w:jc w:val="both"/>
            </w:pPr>
            <w:r>
              <w:rPr>
                <w:sz w:val="20"/>
              </w:rPr>
              <w:t xml:space="preserve">29833,4</w:t>
            </w:r>
          </w:p>
        </w:tc>
        <w:tc>
          <w:tcPr>
            <w:tcW w:w="1024" w:type="dxa"/>
            <w:vAlign w:val="center"/>
          </w:tcPr>
          <w:p>
            <w:pPr>
              <w:pStyle w:val="0"/>
              <w:jc w:val="both"/>
            </w:pPr>
            <w:r>
              <w:rPr>
                <w:sz w:val="20"/>
              </w:rPr>
              <w:t xml:space="preserve">26277,7</w:t>
            </w:r>
          </w:p>
        </w:tc>
        <w:tc>
          <w:tcPr>
            <w:tcW w:w="1144" w:type="dxa"/>
            <w:vAlign w:val="center"/>
          </w:tcPr>
          <w:p>
            <w:pPr>
              <w:pStyle w:val="0"/>
              <w:jc w:val="both"/>
            </w:pPr>
            <w:r>
              <w:rPr>
                <w:sz w:val="20"/>
              </w:rPr>
              <w:t xml:space="preserve">171861</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Подпрограмма 4</w:t>
            </w:r>
          </w:p>
        </w:tc>
        <w:tc>
          <w:tcPr>
            <w:tcW w:w="2778" w:type="dxa"/>
            <w:vAlign w:val="center"/>
            <w:vMerge w:val="restart"/>
          </w:tcPr>
          <w:p>
            <w:pPr>
              <w:pStyle w:val="0"/>
            </w:pPr>
            <w:r>
              <w:rPr>
                <w:sz w:val="20"/>
              </w:rPr>
              <w:t xml:space="preserve">Сохранение, воспроизводство и использование животного мира</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114273</w:t>
            </w:r>
          </w:p>
        </w:tc>
        <w:tc>
          <w:tcPr>
            <w:tcW w:w="1144" w:type="dxa"/>
            <w:vAlign w:val="center"/>
          </w:tcPr>
          <w:p>
            <w:pPr>
              <w:pStyle w:val="0"/>
              <w:jc w:val="both"/>
            </w:pPr>
            <w:r>
              <w:rPr>
                <w:sz w:val="20"/>
              </w:rPr>
              <w:t xml:space="preserve">9255,7</w:t>
            </w:r>
          </w:p>
        </w:tc>
        <w:tc>
          <w:tcPr>
            <w:tcW w:w="1144" w:type="dxa"/>
            <w:vAlign w:val="center"/>
          </w:tcPr>
          <w:p>
            <w:pPr>
              <w:pStyle w:val="0"/>
              <w:jc w:val="both"/>
            </w:pPr>
            <w:r>
              <w:rPr>
                <w:sz w:val="20"/>
              </w:rPr>
              <w:t xml:space="preserve">10149</w:t>
            </w:r>
          </w:p>
        </w:tc>
        <w:tc>
          <w:tcPr>
            <w:tcW w:w="1144" w:type="dxa"/>
            <w:vAlign w:val="center"/>
          </w:tcPr>
          <w:p>
            <w:pPr>
              <w:pStyle w:val="0"/>
              <w:jc w:val="both"/>
            </w:pPr>
            <w:r>
              <w:rPr>
                <w:sz w:val="20"/>
              </w:rPr>
              <w:t xml:space="preserve">10308,3</w:t>
            </w:r>
          </w:p>
        </w:tc>
        <w:tc>
          <w:tcPr>
            <w:tcW w:w="1144" w:type="dxa"/>
            <w:vAlign w:val="center"/>
          </w:tcPr>
          <w:p>
            <w:pPr>
              <w:pStyle w:val="0"/>
              <w:jc w:val="both"/>
            </w:pPr>
            <w:r>
              <w:rPr>
                <w:sz w:val="20"/>
              </w:rPr>
              <w:t xml:space="preserve">10663,7</w:t>
            </w:r>
          </w:p>
        </w:tc>
        <w:tc>
          <w:tcPr>
            <w:tcW w:w="1024" w:type="dxa"/>
            <w:vAlign w:val="center"/>
          </w:tcPr>
          <w:p>
            <w:pPr>
              <w:pStyle w:val="0"/>
              <w:jc w:val="both"/>
            </w:pPr>
            <w:r>
              <w:rPr>
                <w:sz w:val="20"/>
              </w:rPr>
              <w:t xml:space="preserve">11051,1</w:t>
            </w:r>
          </w:p>
        </w:tc>
        <w:tc>
          <w:tcPr>
            <w:tcW w:w="1144" w:type="dxa"/>
            <w:vAlign w:val="center"/>
          </w:tcPr>
          <w:p>
            <w:pPr>
              <w:pStyle w:val="0"/>
              <w:jc w:val="both"/>
            </w:pPr>
            <w:r>
              <w:rPr>
                <w:sz w:val="20"/>
              </w:rPr>
              <w:t xml:space="preserve">51427,8</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113108</w:t>
            </w:r>
          </w:p>
        </w:tc>
        <w:tc>
          <w:tcPr>
            <w:tcW w:w="1144" w:type="dxa"/>
            <w:vAlign w:val="center"/>
          </w:tcPr>
          <w:p>
            <w:pPr>
              <w:pStyle w:val="0"/>
              <w:jc w:val="both"/>
            </w:pPr>
            <w:r>
              <w:rPr>
                <w:sz w:val="20"/>
              </w:rPr>
              <w:t xml:space="preserve">9255,7</w:t>
            </w:r>
          </w:p>
        </w:tc>
        <w:tc>
          <w:tcPr>
            <w:tcW w:w="1144" w:type="dxa"/>
            <w:vAlign w:val="center"/>
          </w:tcPr>
          <w:p>
            <w:pPr>
              <w:pStyle w:val="0"/>
              <w:jc w:val="both"/>
            </w:pPr>
            <w:r>
              <w:rPr>
                <w:sz w:val="20"/>
              </w:rPr>
              <w:t xml:space="preserve">10149</w:t>
            </w:r>
          </w:p>
        </w:tc>
        <w:tc>
          <w:tcPr>
            <w:tcW w:w="1144" w:type="dxa"/>
            <w:vAlign w:val="center"/>
          </w:tcPr>
          <w:p>
            <w:pPr>
              <w:pStyle w:val="0"/>
              <w:jc w:val="both"/>
            </w:pPr>
            <w:r>
              <w:rPr>
                <w:sz w:val="20"/>
              </w:rPr>
              <w:t xml:space="preserve">10308,3</w:t>
            </w:r>
          </w:p>
        </w:tc>
        <w:tc>
          <w:tcPr>
            <w:tcW w:w="1144" w:type="dxa"/>
            <w:vAlign w:val="center"/>
          </w:tcPr>
          <w:p>
            <w:pPr>
              <w:pStyle w:val="0"/>
              <w:jc w:val="both"/>
            </w:pPr>
            <w:r>
              <w:rPr>
                <w:sz w:val="20"/>
              </w:rPr>
              <w:t xml:space="preserve">10663,7</w:t>
            </w:r>
          </w:p>
        </w:tc>
        <w:tc>
          <w:tcPr>
            <w:tcW w:w="1024" w:type="dxa"/>
            <w:vAlign w:val="center"/>
          </w:tcPr>
          <w:p>
            <w:pPr>
              <w:pStyle w:val="0"/>
              <w:jc w:val="both"/>
            </w:pPr>
            <w:r>
              <w:rPr>
                <w:sz w:val="20"/>
              </w:rPr>
              <w:t xml:space="preserve">11051,1</w:t>
            </w:r>
          </w:p>
        </w:tc>
        <w:tc>
          <w:tcPr>
            <w:tcW w:w="1144" w:type="dxa"/>
            <w:vAlign w:val="center"/>
          </w:tcPr>
          <w:p>
            <w:pPr>
              <w:pStyle w:val="0"/>
              <w:jc w:val="both"/>
            </w:pPr>
            <w:r>
              <w:rPr>
                <w:sz w:val="20"/>
              </w:rPr>
              <w:t xml:space="preserve">51427,8</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1165</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4.1</w:t>
            </w:r>
          </w:p>
        </w:tc>
        <w:tc>
          <w:tcPr>
            <w:tcW w:w="2778" w:type="dxa"/>
            <w:vAlign w:val="center"/>
            <w:vMerge w:val="restart"/>
          </w:tcPr>
          <w:p>
            <w:pPr>
              <w:pStyle w:val="0"/>
            </w:pPr>
            <w:r>
              <w:rPr>
                <w:sz w:val="20"/>
              </w:rPr>
              <w:t xml:space="preserve">Осуществление переданных органам государственной власти субъектов Российской Федерации в соответствии с </w:t>
            </w:r>
            <w:hyperlink w:history="0" r:id="rId205"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448,0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448,0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4.2</w:t>
            </w:r>
          </w:p>
        </w:tc>
        <w:tc>
          <w:tcPr>
            <w:tcW w:w="2778" w:type="dxa"/>
            <w:vAlign w:val="center"/>
            <w:vMerge w:val="restart"/>
          </w:tcPr>
          <w:p>
            <w:pPr>
              <w:pStyle w:val="0"/>
            </w:pPr>
            <w:r>
              <w:rPr>
                <w:sz w:val="20"/>
              </w:rPr>
              <w:t xml:space="preserve">Мероприятия в рамках подпрограммы 4 "Сохранение, воспроизводство и использование животного мира"</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1165,0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1165,0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4.4</w:t>
            </w:r>
          </w:p>
        </w:tc>
        <w:tc>
          <w:tcPr>
            <w:tcW w:w="2778" w:type="dxa"/>
            <w:vAlign w:val="center"/>
            <w:vMerge w:val="restart"/>
          </w:tcPr>
          <w:p>
            <w:pPr>
              <w:pStyle w:val="0"/>
            </w:pPr>
            <w:r>
              <w:rPr>
                <w:sz w:val="20"/>
              </w:rPr>
              <w:t xml:space="preserve">Осуществление переданных органам государственной власти субъектов Российской Федерации в соответствии с </w:t>
            </w:r>
            <w:hyperlink w:history="0" r:id="rId206"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111487,4</w:t>
            </w:r>
          </w:p>
        </w:tc>
        <w:tc>
          <w:tcPr>
            <w:tcW w:w="1144" w:type="dxa"/>
            <w:vAlign w:val="center"/>
          </w:tcPr>
          <w:p>
            <w:pPr>
              <w:pStyle w:val="0"/>
              <w:jc w:val="both"/>
            </w:pPr>
            <w:r>
              <w:rPr>
                <w:sz w:val="20"/>
              </w:rPr>
              <w:t xml:space="preserve">9157,1</w:t>
            </w:r>
          </w:p>
        </w:tc>
        <w:tc>
          <w:tcPr>
            <w:tcW w:w="1144" w:type="dxa"/>
            <w:vAlign w:val="center"/>
          </w:tcPr>
          <w:p>
            <w:pPr>
              <w:pStyle w:val="0"/>
              <w:jc w:val="both"/>
            </w:pPr>
            <w:r>
              <w:rPr>
                <w:sz w:val="20"/>
              </w:rPr>
              <w:t xml:space="preserve">10051,3</w:t>
            </w:r>
          </w:p>
        </w:tc>
        <w:tc>
          <w:tcPr>
            <w:tcW w:w="1144" w:type="dxa"/>
            <w:vAlign w:val="center"/>
          </w:tcPr>
          <w:p>
            <w:pPr>
              <w:pStyle w:val="0"/>
              <w:jc w:val="both"/>
            </w:pPr>
            <w:r>
              <w:rPr>
                <w:sz w:val="20"/>
              </w:rPr>
              <w:t xml:space="preserve">10228,1</w:t>
            </w:r>
          </w:p>
        </w:tc>
        <w:tc>
          <w:tcPr>
            <w:tcW w:w="1144" w:type="dxa"/>
            <w:vAlign w:val="center"/>
          </w:tcPr>
          <w:p>
            <w:pPr>
              <w:pStyle w:val="0"/>
              <w:jc w:val="both"/>
            </w:pPr>
            <w:r>
              <w:rPr>
                <w:sz w:val="20"/>
              </w:rPr>
              <w:t xml:space="preserve">10583,5</w:t>
            </w:r>
          </w:p>
        </w:tc>
        <w:tc>
          <w:tcPr>
            <w:tcW w:w="1024" w:type="dxa"/>
            <w:vAlign w:val="center"/>
          </w:tcPr>
          <w:p>
            <w:pPr>
              <w:pStyle w:val="0"/>
              <w:jc w:val="both"/>
            </w:pPr>
            <w:r>
              <w:rPr>
                <w:sz w:val="20"/>
              </w:rPr>
              <w:t xml:space="preserve">10970,9</w:t>
            </w:r>
          </w:p>
        </w:tc>
        <w:tc>
          <w:tcPr>
            <w:tcW w:w="1144" w:type="dxa"/>
            <w:vAlign w:val="center"/>
          </w:tcPr>
          <w:p>
            <w:pPr>
              <w:pStyle w:val="0"/>
              <w:jc w:val="both"/>
            </w:pPr>
            <w:r>
              <w:rPr>
                <w:sz w:val="20"/>
              </w:rPr>
              <w:t xml:space="preserve">50990,9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111487,4</w:t>
            </w:r>
          </w:p>
        </w:tc>
        <w:tc>
          <w:tcPr>
            <w:tcW w:w="1144" w:type="dxa"/>
            <w:vAlign w:val="center"/>
          </w:tcPr>
          <w:p>
            <w:pPr>
              <w:pStyle w:val="0"/>
              <w:jc w:val="both"/>
            </w:pPr>
            <w:r>
              <w:rPr>
                <w:sz w:val="20"/>
              </w:rPr>
              <w:t xml:space="preserve">9157,1</w:t>
            </w:r>
          </w:p>
        </w:tc>
        <w:tc>
          <w:tcPr>
            <w:tcW w:w="1144" w:type="dxa"/>
            <w:vAlign w:val="center"/>
          </w:tcPr>
          <w:p>
            <w:pPr>
              <w:pStyle w:val="0"/>
              <w:jc w:val="both"/>
            </w:pPr>
            <w:r>
              <w:rPr>
                <w:sz w:val="20"/>
              </w:rPr>
              <w:t xml:space="preserve">10051,3</w:t>
            </w:r>
          </w:p>
        </w:tc>
        <w:tc>
          <w:tcPr>
            <w:tcW w:w="1144" w:type="dxa"/>
            <w:vAlign w:val="center"/>
          </w:tcPr>
          <w:p>
            <w:pPr>
              <w:pStyle w:val="0"/>
              <w:jc w:val="both"/>
            </w:pPr>
            <w:r>
              <w:rPr>
                <w:sz w:val="20"/>
              </w:rPr>
              <w:t xml:space="preserve">10228,1</w:t>
            </w:r>
          </w:p>
        </w:tc>
        <w:tc>
          <w:tcPr>
            <w:tcW w:w="1144" w:type="dxa"/>
            <w:vAlign w:val="center"/>
          </w:tcPr>
          <w:p>
            <w:pPr>
              <w:pStyle w:val="0"/>
              <w:jc w:val="both"/>
            </w:pPr>
            <w:r>
              <w:rPr>
                <w:sz w:val="20"/>
              </w:rPr>
              <w:t xml:space="preserve">10583,5</w:t>
            </w:r>
          </w:p>
        </w:tc>
        <w:tc>
          <w:tcPr>
            <w:tcW w:w="1024" w:type="dxa"/>
            <w:vAlign w:val="center"/>
          </w:tcPr>
          <w:p>
            <w:pPr>
              <w:pStyle w:val="0"/>
              <w:jc w:val="both"/>
            </w:pPr>
            <w:r>
              <w:rPr>
                <w:sz w:val="20"/>
              </w:rPr>
              <w:t xml:space="preserve">10970,9</w:t>
            </w:r>
          </w:p>
        </w:tc>
        <w:tc>
          <w:tcPr>
            <w:tcW w:w="1144" w:type="dxa"/>
            <w:vAlign w:val="center"/>
          </w:tcPr>
          <w:p>
            <w:pPr>
              <w:pStyle w:val="0"/>
              <w:jc w:val="both"/>
            </w:pPr>
            <w:r>
              <w:rPr>
                <w:sz w:val="20"/>
              </w:rPr>
              <w:t xml:space="preserve">50990,9</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4.5</w:t>
            </w:r>
          </w:p>
        </w:tc>
        <w:tc>
          <w:tcPr>
            <w:tcW w:w="2778" w:type="dxa"/>
            <w:vAlign w:val="center"/>
            <w:vMerge w:val="restart"/>
          </w:tcPr>
          <w:p>
            <w:pPr>
              <w:pStyle w:val="0"/>
            </w:pPr>
            <w:r>
              <w:rPr>
                <w:sz w:val="20"/>
              </w:rPr>
              <w:t xml:space="preserve">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1172,6</w:t>
            </w:r>
          </w:p>
        </w:tc>
        <w:tc>
          <w:tcPr>
            <w:tcW w:w="1144" w:type="dxa"/>
            <w:vAlign w:val="center"/>
          </w:tcPr>
          <w:p>
            <w:pPr>
              <w:pStyle w:val="0"/>
              <w:jc w:val="both"/>
            </w:pPr>
            <w:r>
              <w:rPr>
                <w:sz w:val="20"/>
              </w:rPr>
              <w:t xml:space="preserve">98,6</w:t>
            </w:r>
          </w:p>
        </w:tc>
        <w:tc>
          <w:tcPr>
            <w:tcW w:w="1144" w:type="dxa"/>
            <w:vAlign w:val="center"/>
          </w:tcPr>
          <w:p>
            <w:pPr>
              <w:pStyle w:val="0"/>
              <w:jc w:val="both"/>
            </w:pPr>
            <w:r>
              <w:rPr>
                <w:sz w:val="20"/>
              </w:rPr>
              <w:t xml:space="preserve">97,7</w:t>
            </w:r>
          </w:p>
        </w:tc>
        <w:tc>
          <w:tcPr>
            <w:tcW w:w="1144" w:type="dxa"/>
            <w:vAlign w:val="center"/>
          </w:tcPr>
          <w:p>
            <w:pPr>
              <w:pStyle w:val="0"/>
              <w:jc w:val="both"/>
            </w:pPr>
            <w:r>
              <w:rPr>
                <w:sz w:val="20"/>
              </w:rPr>
              <w:t xml:space="preserve">80,2</w:t>
            </w:r>
          </w:p>
        </w:tc>
        <w:tc>
          <w:tcPr>
            <w:tcW w:w="1144" w:type="dxa"/>
            <w:vAlign w:val="center"/>
          </w:tcPr>
          <w:p>
            <w:pPr>
              <w:pStyle w:val="0"/>
              <w:jc w:val="both"/>
            </w:pPr>
            <w:r>
              <w:rPr>
                <w:sz w:val="20"/>
              </w:rPr>
              <w:t xml:space="preserve">80,2</w:t>
            </w:r>
          </w:p>
        </w:tc>
        <w:tc>
          <w:tcPr>
            <w:tcW w:w="1024" w:type="dxa"/>
            <w:vAlign w:val="center"/>
          </w:tcPr>
          <w:p>
            <w:pPr>
              <w:pStyle w:val="0"/>
              <w:jc w:val="both"/>
            </w:pPr>
            <w:r>
              <w:rPr>
                <w:sz w:val="20"/>
              </w:rPr>
              <w:t xml:space="preserve">80,2</w:t>
            </w:r>
          </w:p>
        </w:tc>
        <w:tc>
          <w:tcPr>
            <w:tcW w:w="1144" w:type="dxa"/>
            <w:vAlign w:val="center"/>
          </w:tcPr>
          <w:p>
            <w:pPr>
              <w:pStyle w:val="0"/>
              <w:jc w:val="both"/>
            </w:pPr>
            <w:r>
              <w:rPr>
                <w:sz w:val="20"/>
              </w:rPr>
              <w:t xml:space="preserve">436,9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1172,6</w:t>
            </w:r>
          </w:p>
        </w:tc>
        <w:tc>
          <w:tcPr>
            <w:tcW w:w="1144" w:type="dxa"/>
            <w:vAlign w:val="center"/>
          </w:tcPr>
          <w:p>
            <w:pPr>
              <w:pStyle w:val="0"/>
              <w:jc w:val="both"/>
            </w:pPr>
            <w:r>
              <w:rPr>
                <w:sz w:val="20"/>
              </w:rPr>
              <w:t xml:space="preserve">98,6</w:t>
            </w:r>
          </w:p>
        </w:tc>
        <w:tc>
          <w:tcPr>
            <w:tcW w:w="1144" w:type="dxa"/>
            <w:vAlign w:val="center"/>
          </w:tcPr>
          <w:p>
            <w:pPr>
              <w:pStyle w:val="0"/>
              <w:jc w:val="both"/>
            </w:pPr>
            <w:r>
              <w:rPr>
                <w:sz w:val="20"/>
              </w:rPr>
              <w:t xml:space="preserve">97,7</w:t>
            </w:r>
          </w:p>
        </w:tc>
        <w:tc>
          <w:tcPr>
            <w:tcW w:w="1144" w:type="dxa"/>
            <w:vAlign w:val="center"/>
          </w:tcPr>
          <w:p>
            <w:pPr>
              <w:pStyle w:val="0"/>
              <w:jc w:val="both"/>
            </w:pPr>
            <w:r>
              <w:rPr>
                <w:sz w:val="20"/>
              </w:rPr>
              <w:t xml:space="preserve">80,2</w:t>
            </w:r>
          </w:p>
        </w:tc>
        <w:tc>
          <w:tcPr>
            <w:tcW w:w="1144" w:type="dxa"/>
            <w:vAlign w:val="center"/>
          </w:tcPr>
          <w:p>
            <w:pPr>
              <w:pStyle w:val="0"/>
              <w:jc w:val="both"/>
            </w:pPr>
            <w:r>
              <w:rPr>
                <w:sz w:val="20"/>
              </w:rPr>
              <w:t xml:space="preserve">80,2</w:t>
            </w:r>
          </w:p>
        </w:tc>
        <w:tc>
          <w:tcPr>
            <w:tcW w:w="1024" w:type="dxa"/>
            <w:vAlign w:val="center"/>
          </w:tcPr>
          <w:p>
            <w:pPr>
              <w:pStyle w:val="0"/>
              <w:jc w:val="both"/>
            </w:pPr>
            <w:r>
              <w:rPr>
                <w:sz w:val="20"/>
              </w:rPr>
              <w:t xml:space="preserve">80,2</w:t>
            </w:r>
          </w:p>
        </w:tc>
        <w:tc>
          <w:tcPr>
            <w:tcW w:w="1144" w:type="dxa"/>
            <w:vAlign w:val="center"/>
          </w:tcPr>
          <w:p>
            <w:pPr>
              <w:pStyle w:val="0"/>
              <w:jc w:val="both"/>
            </w:pPr>
            <w:r>
              <w:rPr>
                <w:sz w:val="20"/>
              </w:rPr>
              <w:t xml:space="preserve">436,9</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Подпрограмма 5</w:t>
            </w:r>
          </w:p>
        </w:tc>
        <w:tc>
          <w:tcPr>
            <w:tcW w:w="2778" w:type="dxa"/>
            <w:vAlign w:val="center"/>
            <w:vMerge w:val="restart"/>
          </w:tcPr>
          <w:p>
            <w:pPr>
              <w:pStyle w:val="0"/>
            </w:pPr>
            <w:r>
              <w:rPr>
                <w:sz w:val="20"/>
              </w:rPr>
              <w:t xml:space="preserve">Любительское рыболовство и охрана водных биоресурсов</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1973,8</w:t>
            </w:r>
          </w:p>
        </w:tc>
        <w:tc>
          <w:tcPr>
            <w:tcW w:w="1144" w:type="dxa"/>
            <w:vAlign w:val="center"/>
          </w:tcPr>
          <w:p>
            <w:pPr>
              <w:pStyle w:val="0"/>
              <w:jc w:val="both"/>
            </w:pPr>
            <w:r>
              <w:rPr>
                <w:sz w:val="20"/>
              </w:rPr>
              <w:t xml:space="preserve">123,5</w:t>
            </w:r>
          </w:p>
        </w:tc>
        <w:tc>
          <w:tcPr>
            <w:tcW w:w="1144" w:type="dxa"/>
            <w:vAlign w:val="center"/>
          </w:tcPr>
          <w:p>
            <w:pPr>
              <w:pStyle w:val="0"/>
              <w:jc w:val="both"/>
            </w:pPr>
            <w:r>
              <w:rPr>
                <w:sz w:val="20"/>
              </w:rPr>
              <w:t xml:space="preserve">123,5</w:t>
            </w:r>
          </w:p>
        </w:tc>
        <w:tc>
          <w:tcPr>
            <w:tcW w:w="1144" w:type="dxa"/>
            <w:vAlign w:val="center"/>
          </w:tcPr>
          <w:p>
            <w:pPr>
              <w:pStyle w:val="0"/>
              <w:jc w:val="both"/>
            </w:pPr>
            <w:r>
              <w:rPr>
                <w:sz w:val="20"/>
              </w:rPr>
              <w:t xml:space="preserve">123,3</w:t>
            </w:r>
          </w:p>
        </w:tc>
        <w:tc>
          <w:tcPr>
            <w:tcW w:w="1144" w:type="dxa"/>
            <w:vAlign w:val="center"/>
          </w:tcPr>
          <w:p>
            <w:pPr>
              <w:pStyle w:val="0"/>
              <w:jc w:val="both"/>
            </w:pPr>
            <w:r>
              <w:rPr>
                <w:sz w:val="20"/>
              </w:rPr>
              <w:t xml:space="preserve">123,3</w:t>
            </w:r>
          </w:p>
        </w:tc>
        <w:tc>
          <w:tcPr>
            <w:tcW w:w="1024" w:type="dxa"/>
            <w:vAlign w:val="center"/>
          </w:tcPr>
          <w:p>
            <w:pPr>
              <w:pStyle w:val="0"/>
              <w:jc w:val="both"/>
            </w:pPr>
            <w:r>
              <w:rPr>
                <w:sz w:val="20"/>
              </w:rPr>
              <w:t xml:space="preserve">123,3</w:t>
            </w:r>
          </w:p>
        </w:tc>
        <w:tc>
          <w:tcPr>
            <w:tcW w:w="1144" w:type="dxa"/>
            <w:vAlign w:val="center"/>
          </w:tcPr>
          <w:p>
            <w:pPr>
              <w:pStyle w:val="0"/>
              <w:jc w:val="both"/>
            </w:pPr>
            <w:r>
              <w:rPr>
                <w:sz w:val="20"/>
              </w:rPr>
              <w:t xml:space="preserve">616,9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389,8</w:t>
            </w:r>
          </w:p>
        </w:tc>
        <w:tc>
          <w:tcPr>
            <w:tcW w:w="1144" w:type="dxa"/>
            <w:vAlign w:val="center"/>
          </w:tcPr>
          <w:p>
            <w:pPr>
              <w:pStyle w:val="0"/>
              <w:jc w:val="both"/>
            </w:pPr>
            <w:r>
              <w:rPr>
                <w:sz w:val="20"/>
              </w:rPr>
              <w:t xml:space="preserve">27,5</w:t>
            </w:r>
          </w:p>
        </w:tc>
        <w:tc>
          <w:tcPr>
            <w:tcW w:w="1144" w:type="dxa"/>
            <w:vAlign w:val="center"/>
          </w:tcPr>
          <w:p>
            <w:pPr>
              <w:pStyle w:val="0"/>
              <w:jc w:val="both"/>
            </w:pPr>
            <w:r>
              <w:rPr>
                <w:sz w:val="20"/>
              </w:rPr>
              <w:t xml:space="preserve">27,5</w:t>
            </w:r>
          </w:p>
        </w:tc>
        <w:tc>
          <w:tcPr>
            <w:tcW w:w="1144" w:type="dxa"/>
            <w:vAlign w:val="center"/>
          </w:tcPr>
          <w:p>
            <w:pPr>
              <w:pStyle w:val="0"/>
              <w:jc w:val="both"/>
            </w:pPr>
            <w:r>
              <w:rPr>
                <w:sz w:val="20"/>
              </w:rPr>
              <w:t xml:space="preserve">27,3</w:t>
            </w:r>
          </w:p>
        </w:tc>
        <w:tc>
          <w:tcPr>
            <w:tcW w:w="1144" w:type="dxa"/>
            <w:vAlign w:val="center"/>
          </w:tcPr>
          <w:p>
            <w:pPr>
              <w:pStyle w:val="0"/>
              <w:jc w:val="both"/>
            </w:pPr>
            <w:r>
              <w:rPr>
                <w:sz w:val="20"/>
              </w:rPr>
              <w:t xml:space="preserve">27,3</w:t>
            </w:r>
          </w:p>
        </w:tc>
        <w:tc>
          <w:tcPr>
            <w:tcW w:w="1024" w:type="dxa"/>
            <w:vAlign w:val="center"/>
          </w:tcPr>
          <w:p>
            <w:pPr>
              <w:pStyle w:val="0"/>
              <w:jc w:val="both"/>
            </w:pPr>
            <w:r>
              <w:rPr>
                <w:sz w:val="20"/>
              </w:rPr>
              <w:t xml:space="preserve">27,3</w:t>
            </w:r>
          </w:p>
        </w:tc>
        <w:tc>
          <w:tcPr>
            <w:tcW w:w="1144" w:type="dxa"/>
            <w:vAlign w:val="center"/>
          </w:tcPr>
          <w:p>
            <w:pPr>
              <w:pStyle w:val="0"/>
              <w:jc w:val="both"/>
            </w:pPr>
            <w:r>
              <w:rPr>
                <w:sz w:val="20"/>
              </w:rPr>
              <w:t xml:space="preserve">136,9</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1584</w:t>
            </w:r>
          </w:p>
        </w:tc>
        <w:tc>
          <w:tcPr>
            <w:tcW w:w="1144" w:type="dxa"/>
            <w:vAlign w:val="center"/>
          </w:tcPr>
          <w:p>
            <w:pPr>
              <w:pStyle w:val="0"/>
              <w:jc w:val="both"/>
            </w:pPr>
            <w:r>
              <w:rPr>
                <w:sz w:val="20"/>
              </w:rPr>
              <w:t xml:space="preserve">96</w:t>
            </w:r>
          </w:p>
        </w:tc>
        <w:tc>
          <w:tcPr>
            <w:tcW w:w="1144" w:type="dxa"/>
            <w:vAlign w:val="center"/>
          </w:tcPr>
          <w:p>
            <w:pPr>
              <w:pStyle w:val="0"/>
              <w:jc w:val="both"/>
            </w:pPr>
            <w:r>
              <w:rPr>
                <w:sz w:val="20"/>
              </w:rPr>
              <w:t xml:space="preserve">96</w:t>
            </w:r>
          </w:p>
        </w:tc>
        <w:tc>
          <w:tcPr>
            <w:tcW w:w="1144" w:type="dxa"/>
            <w:vAlign w:val="center"/>
          </w:tcPr>
          <w:p>
            <w:pPr>
              <w:pStyle w:val="0"/>
              <w:jc w:val="both"/>
            </w:pPr>
            <w:r>
              <w:rPr>
                <w:sz w:val="20"/>
              </w:rPr>
              <w:t xml:space="preserve">96</w:t>
            </w:r>
          </w:p>
        </w:tc>
        <w:tc>
          <w:tcPr>
            <w:tcW w:w="1144" w:type="dxa"/>
            <w:vAlign w:val="center"/>
          </w:tcPr>
          <w:p>
            <w:pPr>
              <w:pStyle w:val="0"/>
              <w:jc w:val="both"/>
            </w:pPr>
            <w:r>
              <w:rPr>
                <w:sz w:val="20"/>
              </w:rPr>
              <w:t xml:space="preserve">96</w:t>
            </w:r>
          </w:p>
        </w:tc>
        <w:tc>
          <w:tcPr>
            <w:tcW w:w="1024" w:type="dxa"/>
            <w:vAlign w:val="center"/>
          </w:tcPr>
          <w:p>
            <w:pPr>
              <w:pStyle w:val="0"/>
              <w:jc w:val="both"/>
            </w:pPr>
            <w:r>
              <w:rPr>
                <w:sz w:val="20"/>
              </w:rPr>
              <w:t xml:space="preserve">96</w:t>
            </w:r>
          </w:p>
        </w:tc>
        <w:tc>
          <w:tcPr>
            <w:tcW w:w="1144" w:type="dxa"/>
            <w:vAlign w:val="center"/>
          </w:tcPr>
          <w:p>
            <w:pPr>
              <w:pStyle w:val="0"/>
              <w:jc w:val="both"/>
            </w:pPr>
            <w:r>
              <w:rPr>
                <w:sz w:val="20"/>
              </w:rPr>
              <w:t xml:space="preserve">480</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5.1</w:t>
            </w:r>
          </w:p>
        </w:tc>
        <w:tc>
          <w:tcPr>
            <w:tcW w:w="2778" w:type="dxa"/>
            <w:vAlign w:val="center"/>
            <w:vMerge w:val="restart"/>
          </w:tcPr>
          <w:p>
            <w:pPr>
              <w:pStyle w:val="0"/>
            </w:pPr>
            <w:r>
              <w:rPr>
                <w:sz w:val="20"/>
              </w:rPr>
              <w:t xml:space="preserve">Организация, регулирование и охрана водных биологических ресурсов на территории Белгородской области</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389,8</w:t>
            </w:r>
          </w:p>
        </w:tc>
        <w:tc>
          <w:tcPr>
            <w:tcW w:w="1144" w:type="dxa"/>
            <w:vAlign w:val="center"/>
          </w:tcPr>
          <w:p>
            <w:pPr>
              <w:pStyle w:val="0"/>
              <w:jc w:val="both"/>
            </w:pPr>
            <w:r>
              <w:rPr>
                <w:sz w:val="20"/>
              </w:rPr>
              <w:t xml:space="preserve">27,5</w:t>
            </w:r>
          </w:p>
        </w:tc>
        <w:tc>
          <w:tcPr>
            <w:tcW w:w="1144" w:type="dxa"/>
            <w:vAlign w:val="center"/>
          </w:tcPr>
          <w:p>
            <w:pPr>
              <w:pStyle w:val="0"/>
              <w:jc w:val="both"/>
            </w:pPr>
            <w:r>
              <w:rPr>
                <w:sz w:val="20"/>
              </w:rPr>
              <w:t xml:space="preserve">27,5</w:t>
            </w:r>
          </w:p>
        </w:tc>
        <w:tc>
          <w:tcPr>
            <w:tcW w:w="1144" w:type="dxa"/>
            <w:vAlign w:val="center"/>
          </w:tcPr>
          <w:p>
            <w:pPr>
              <w:pStyle w:val="0"/>
              <w:jc w:val="both"/>
            </w:pPr>
            <w:r>
              <w:rPr>
                <w:sz w:val="20"/>
              </w:rPr>
              <w:t xml:space="preserve">27,3</w:t>
            </w:r>
          </w:p>
        </w:tc>
        <w:tc>
          <w:tcPr>
            <w:tcW w:w="1144" w:type="dxa"/>
            <w:vAlign w:val="center"/>
          </w:tcPr>
          <w:p>
            <w:pPr>
              <w:pStyle w:val="0"/>
              <w:jc w:val="both"/>
            </w:pPr>
            <w:r>
              <w:rPr>
                <w:sz w:val="20"/>
              </w:rPr>
              <w:t xml:space="preserve">27,3</w:t>
            </w:r>
          </w:p>
        </w:tc>
        <w:tc>
          <w:tcPr>
            <w:tcW w:w="1024" w:type="dxa"/>
            <w:vAlign w:val="center"/>
          </w:tcPr>
          <w:p>
            <w:pPr>
              <w:pStyle w:val="0"/>
              <w:jc w:val="both"/>
            </w:pPr>
            <w:r>
              <w:rPr>
                <w:sz w:val="20"/>
              </w:rPr>
              <w:t xml:space="preserve">27,3</w:t>
            </w:r>
          </w:p>
        </w:tc>
        <w:tc>
          <w:tcPr>
            <w:tcW w:w="1144" w:type="dxa"/>
            <w:vAlign w:val="center"/>
          </w:tcPr>
          <w:p>
            <w:pPr>
              <w:pStyle w:val="0"/>
              <w:jc w:val="both"/>
            </w:pPr>
            <w:r>
              <w:rPr>
                <w:sz w:val="20"/>
              </w:rPr>
              <w:t xml:space="preserve">136,9</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389,8</w:t>
            </w:r>
          </w:p>
        </w:tc>
        <w:tc>
          <w:tcPr>
            <w:tcW w:w="1144" w:type="dxa"/>
            <w:vAlign w:val="center"/>
          </w:tcPr>
          <w:p>
            <w:pPr>
              <w:pStyle w:val="0"/>
              <w:jc w:val="both"/>
            </w:pPr>
            <w:r>
              <w:rPr>
                <w:sz w:val="20"/>
              </w:rPr>
              <w:t xml:space="preserve">27,5</w:t>
            </w:r>
          </w:p>
        </w:tc>
        <w:tc>
          <w:tcPr>
            <w:tcW w:w="1144" w:type="dxa"/>
            <w:vAlign w:val="center"/>
          </w:tcPr>
          <w:p>
            <w:pPr>
              <w:pStyle w:val="0"/>
              <w:jc w:val="both"/>
            </w:pPr>
            <w:r>
              <w:rPr>
                <w:sz w:val="20"/>
              </w:rPr>
              <w:t xml:space="preserve">27,5</w:t>
            </w:r>
          </w:p>
        </w:tc>
        <w:tc>
          <w:tcPr>
            <w:tcW w:w="1144" w:type="dxa"/>
            <w:vAlign w:val="center"/>
          </w:tcPr>
          <w:p>
            <w:pPr>
              <w:pStyle w:val="0"/>
              <w:jc w:val="both"/>
            </w:pPr>
            <w:r>
              <w:rPr>
                <w:sz w:val="20"/>
              </w:rPr>
              <w:t xml:space="preserve">27,3</w:t>
            </w:r>
          </w:p>
        </w:tc>
        <w:tc>
          <w:tcPr>
            <w:tcW w:w="1144" w:type="dxa"/>
            <w:vAlign w:val="center"/>
          </w:tcPr>
          <w:p>
            <w:pPr>
              <w:pStyle w:val="0"/>
              <w:jc w:val="both"/>
            </w:pPr>
            <w:r>
              <w:rPr>
                <w:sz w:val="20"/>
              </w:rPr>
              <w:t xml:space="preserve">27,3</w:t>
            </w:r>
          </w:p>
        </w:tc>
        <w:tc>
          <w:tcPr>
            <w:tcW w:w="1024" w:type="dxa"/>
            <w:vAlign w:val="center"/>
          </w:tcPr>
          <w:p>
            <w:pPr>
              <w:pStyle w:val="0"/>
              <w:jc w:val="both"/>
            </w:pPr>
            <w:r>
              <w:rPr>
                <w:sz w:val="20"/>
              </w:rPr>
              <w:t xml:space="preserve">27,3</w:t>
            </w:r>
          </w:p>
        </w:tc>
        <w:tc>
          <w:tcPr>
            <w:tcW w:w="1144" w:type="dxa"/>
            <w:vAlign w:val="center"/>
          </w:tcPr>
          <w:p>
            <w:pPr>
              <w:pStyle w:val="0"/>
              <w:jc w:val="both"/>
            </w:pPr>
            <w:r>
              <w:rPr>
                <w:sz w:val="20"/>
              </w:rPr>
              <w:t xml:space="preserve">136,9</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5.2</w:t>
            </w:r>
          </w:p>
        </w:tc>
        <w:tc>
          <w:tcPr>
            <w:tcW w:w="2778" w:type="dxa"/>
            <w:vAlign w:val="center"/>
            <w:vMerge w:val="restart"/>
          </w:tcPr>
          <w:p>
            <w:pPr>
              <w:pStyle w:val="0"/>
            </w:pPr>
            <w:r>
              <w:rPr>
                <w:sz w:val="20"/>
              </w:rPr>
              <w:t xml:space="preserve">Поддержка любительского рыболовства и охрана водных биоресурсов на территории Белгородской области</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1584,0</w:t>
            </w:r>
          </w:p>
        </w:tc>
        <w:tc>
          <w:tcPr>
            <w:tcW w:w="1144" w:type="dxa"/>
            <w:vAlign w:val="center"/>
          </w:tcPr>
          <w:p>
            <w:pPr>
              <w:pStyle w:val="0"/>
              <w:jc w:val="both"/>
            </w:pPr>
            <w:r>
              <w:rPr>
                <w:sz w:val="20"/>
              </w:rPr>
              <w:t xml:space="preserve">96,0</w:t>
            </w:r>
          </w:p>
        </w:tc>
        <w:tc>
          <w:tcPr>
            <w:tcW w:w="1144" w:type="dxa"/>
            <w:vAlign w:val="center"/>
          </w:tcPr>
          <w:p>
            <w:pPr>
              <w:pStyle w:val="0"/>
              <w:jc w:val="both"/>
            </w:pPr>
            <w:r>
              <w:rPr>
                <w:sz w:val="20"/>
              </w:rPr>
              <w:t xml:space="preserve">96,0</w:t>
            </w:r>
          </w:p>
        </w:tc>
        <w:tc>
          <w:tcPr>
            <w:tcW w:w="1144" w:type="dxa"/>
            <w:vAlign w:val="center"/>
          </w:tcPr>
          <w:p>
            <w:pPr>
              <w:pStyle w:val="0"/>
              <w:jc w:val="both"/>
            </w:pPr>
            <w:r>
              <w:rPr>
                <w:sz w:val="20"/>
              </w:rPr>
              <w:t xml:space="preserve">96,0</w:t>
            </w:r>
          </w:p>
        </w:tc>
        <w:tc>
          <w:tcPr>
            <w:tcW w:w="1144" w:type="dxa"/>
            <w:vAlign w:val="center"/>
          </w:tcPr>
          <w:p>
            <w:pPr>
              <w:pStyle w:val="0"/>
              <w:jc w:val="both"/>
            </w:pPr>
            <w:r>
              <w:rPr>
                <w:sz w:val="20"/>
              </w:rPr>
              <w:t xml:space="preserve">96,0</w:t>
            </w:r>
          </w:p>
        </w:tc>
        <w:tc>
          <w:tcPr>
            <w:tcW w:w="1024" w:type="dxa"/>
            <w:vAlign w:val="center"/>
          </w:tcPr>
          <w:p>
            <w:pPr>
              <w:pStyle w:val="0"/>
              <w:jc w:val="both"/>
            </w:pPr>
            <w:r>
              <w:rPr>
                <w:sz w:val="20"/>
              </w:rPr>
              <w:t xml:space="preserve">96,0</w:t>
            </w:r>
          </w:p>
        </w:tc>
        <w:tc>
          <w:tcPr>
            <w:tcW w:w="1144" w:type="dxa"/>
            <w:vAlign w:val="center"/>
          </w:tcPr>
          <w:p>
            <w:pPr>
              <w:pStyle w:val="0"/>
              <w:jc w:val="both"/>
            </w:pPr>
            <w:r>
              <w:rPr>
                <w:sz w:val="20"/>
              </w:rPr>
              <w:t xml:space="preserve">480,0</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1584,0</w:t>
            </w:r>
          </w:p>
        </w:tc>
        <w:tc>
          <w:tcPr>
            <w:tcW w:w="1144" w:type="dxa"/>
            <w:vAlign w:val="center"/>
          </w:tcPr>
          <w:p>
            <w:pPr>
              <w:pStyle w:val="0"/>
              <w:jc w:val="both"/>
            </w:pPr>
            <w:r>
              <w:rPr>
                <w:sz w:val="20"/>
              </w:rPr>
              <w:t xml:space="preserve">96,0</w:t>
            </w:r>
          </w:p>
        </w:tc>
        <w:tc>
          <w:tcPr>
            <w:tcW w:w="1144" w:type="dxa"/>
            <w:vAlign w:val="center"/>
          </w:tcPr>
          <w:p>
            <w:pPr>
              <w:pStyle w:val="0"/>
              <w:jc w:val="both"/>
            </w:pPr>
            <w:r>
              <w:rPr>
                <w:sz w:val="20"/>
              </w:rPr>
              <w:t xml:space="preserve">96,0</w:t>
            </w:r>
          </w:p>
        </w:tc>
        <w:tc>
          <w:tcPr>
            <w:tcW w:w="1144" w:type="dxa"/>
            <w:vAlign w:val="center"/>
          </w:tcPr>
          <w:p>
            <w:pPr>
              <w:pStyle w:val="0"/>
              <w:jc w:val="both"/>
            </w:pPr>
            <w:r>
              <w:rPr>
                <w:sz w:val="20"/>
              </w:rPr>
              <w:t xml:space="preserve">96,0</w:t>
            </w:r>
          </w:p>
        </w:tc>
        <w:tc>
          <w:tcPr>
            <w:tcW w:w="1144" w:type="dxa"/>
            <w:vAlign w:val="center"/>
          </w:tcPr>
          <w:p>
            <w:pPr>
              <w:pStyle w:val="0"/>
              <w:jc w:val="both"/>
            </w:pPr>
            <w:r>
              <w:rPr>
                <w:sz w:val="20"/>
              </w:rPr>
              <w:t xml:space="preserve">96,0</w:t>
            </w:r>
          </w:p>
        </w:tc>
        <w:tc>
          <w:tcPr>
            <w:tcW w:w="1024" w:type="dxa"/>
            <w:vAlign w:val="center"/>
          </w:tcPr>
          <w:p>
            <w:pPr>
              <w:pStyle w:val="0"/>
              <w:jc w:val="both"/>
            </w:pPr>
            <w:r>
              <w:rPr>
                <w:sz w:val="20"/>
              </w:rPr>
              <w:t xml:space="preserve">96,0</w:t>
            </w:r>
          </w:p>
        </w:tc>
        <w:tc>
          <w:tcPr>
            <w:tcW w:w="1144" w:type="dxa"/>
            <w:vAlign w:val="center"/>
          </w:tcPr>
          <w:p>
            <w:pPr>
              <w:pStyle w:val="0"/>
              <w:jc w:val="both"/>
            </w:pPr>
            <w:r>
              <w:rPr>
                <w:sz w:val="20"/>
              </w:rPr>
              <w:t xml:space="preserve">480,0</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Подпрограмма 6</w:t>
            </w:r>
          </w:p>
        </w:tc>
        <w:tc>
          <w:tcPr>
            <w:tcW w:w="2778" w:type="dxa"/>
            <w:vAlign w:val="center"/>
            <w:vMerge w:val="restart"/>
          </w:tcPr>
          <w:p>
            <w:pPr>
              <w:pStyle w:val="0"/>
            </w:pPr>
            <w:r>
              <w:rPr>
                <w:sz w:val="20"/>
              </w:rPr>
              <w:t xml:space="preserve">Обеспечение реализации государственной программы</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1270229,6</w:t>
            </w:r>
          </w:p>
        </w:tc>
        <w:tc>
          <w:tcPr>
            <w:tcW w:w="1144" w:type="dxa"/>
            <w:vAlign w:val="center"/>
          </w:tcPr>
          <w:p>
            <w:pPr>
              <w:pStyle w:val="0"/>
              <w:jc w:val="both"/>
            </w:pPr>
            <w:r>
              <w:rPr>
                <w:sz w:val="20"/>
              </w:rPr>
              <w:t xml:space="preserve">113666</w:t>
            </w:r>
          </w:p>
        </w:tc>
        <w:tc>
          <w:tcPr>
            <w:tcW w:w="1144" w:type="dxa"/>
            <w:vAlign w:val="center"/>
          </w:tcPr>
          <w:p>
            <w:pPr>
              <w:pStyle w:val="0"/>
              <w:jc w:val="both"/>
            </w:pPr>
            <w:r>
              <w:rPr>
                <w:sz w:val="20"/>
              </w:rPr>
              <w:t xml:space="preserve">134073,7</w:t>
            </w:r>
          </w:p>
        </w:tc>
        <w:tc>
          <w:tcPr>
            <w:tcW w:w="1144" w:type="dxa"/>
            <w:vAlign w:val="center"/>
          </w:tcPr>
          <w:p>
            <w:pPr>
              <w:pStyle w:val="0"/>
              <w:jc w:val="both"/>
            </w:pPr>
            <w:r>
              <w:rPr>
                <w:sz w:val="20"/>
              </w:rPr>
              <w:t xml:space="preserve">115845</w:t>
            </w:r>
          </w:p>
        </w:tc>
        <w:tc>
          <w:tcPr>
            <w:tcW w:w="1144" w:type="dxa"/>
            <w:vAlign w:val="center"/>
          </w:tcPr>
          <w:p>
            <w:pPr>
              <w:pStyle w:val="0"/>
              <w:jc w:val="both"/>
            </w:pPr>
            <w:r>
              <w:rPr>
                <w:sz w:val="20"/>
              </w:rPr>
              <w:t xml:space="preserve">120576</w:t>
            </w:r>
          </w:p>
        </w:tc>
        <w:tc>
          <w:tcPr>
            <w:tcW w:w="1024" w:type="dxa"/>
            <w:vAlign w:val="center"/>
          </w:tcPr>
          <w:p>
            <w:pPr>
              <w:pStyle w:val="0"/>
              <w:jc w:val="both"/>
            </w:pPr>
            <w:r>
              <w:rPr>
                <w:sz w:val="20"/>
              </w:rPr>
              <w:t xml:space="preserve">124451</w:t>
            </w:r>
          </w:p>
        </w:tc>
        <w:tc>
          <w:tcPr>
            <w:tcW w:w="1144" w:type="dxa"/>
            <w:vAlign w:val="center"/>
          </w:tcPr>
          <w:p>
            <w:pPr>
              <w:pStyle w:val="0"/>
              <w:jc w:val="both"/>
            </w:pPr>
            <w:r>
              <w:rPr>
                <w:sz w:val="20"/>
              </w:rPr>
              <w:t xml:space="preserve">608611,7</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1270229,6</w:t>
            </w:r>
          </w:p>
        </w:tc>
        <w:tc>
          <w:tcPr>
            <w:tcW w:w="1144" w:type="dxa"/>
            <w:vAlign w:val="center"/>
          </w:tcPr>
          <w:p>
            <w:pPr>
              <w:pStyle w:val="0"/>
              <w:jc w:val="both"/>
            </w:pPr>
            <w:r>
              <w:rPr>
                <w:sz w:val="20"/>
              </w:rPr>
              <w:t xml:space="preserve">113666</w:t>
            </w:r>
          </w:p>
        </w:tc>
        <w:tc>
          <w:tcPr>
            <w:tcW w:w="1144" w:type="dxa"/>
            <w:vAlign w:val="center"/>
          </w:tcPr>
          <w:p>
            <w:pPr>
              <w:pStyle w:val="0"/>
              <w:jc w:val="both"/>
            </w:pPr>
            <w:r>
              <w:rPr>
                <w:sz w:val="20"/>
              </w:rPr>
              <w:t xml:space="preserve">134073,7</w:t>
            </w:r>
          </w:p>
        </w:tc>
        <w:tc>
          <w:tcPr>
            <w:tcW w:w="1144" w:type="dxa"/>
            <w:vAlign w:val="center"/>
          </w:tcPr>
          <w:p>
            <w:pPr>
              <w:pStyle w:val="0"/>
              <w:jc w:val="both"/>
            </w:pPr>
            <w:r>
              <w:rPr>
                <w:sz w:val="20"/>
              </w:rPr>
              <w:t xml:space="preserve">115845</w:t>
            </w:r>
          </w:p>
        </w:tc>
        <w:tc>
          <w:tcPr>
            <w:tcW w:w="1144" w:type="dxa"/>
            <w:vAlign w:val="center"/>
          </w:tcPr>
          <w:p>
            <w:pPr>
              <w:pStyle w:val="0"/>
              <w:jc w:val="both"/>
            </w:pPr>
            <w:r>
              <w:rPr>
                <w:sz w:val="20"/>
              </w:rPr>
              <w:t xml:space="preserve">120576</w:t>
            </w:r>
          </w:p>
        </w:tc>
        <w:tc>
          <w:tcPr>
            <w:tcW w:w="1024" w:type="dxa"/>
            <w:vAlign w:val="center"/>
          </w:tcPr>
          <w:p>
            <w:pPr>
              <w:pStyle w:val="0"/>
              <w:jc w:val="both"/>
            </w:pPr>
            <w:r>
              <w:rPr>
                <w:sz w:val="20"/>
              </w:rPr>
              <w:t xml:space="preserve">124451</w:t>
            </w:r>
          </w:p>
        </w:tc>
        <w:tc>
          <w:tcPr>
            <w:tcW w:w="1144" w:type="dxa"/>
            <w:vAlign w:val="center"/>
          </w:tcPr>
          <w:p>
            <w:pPr>
              <w:pStyle w:val="0"/>
              <w:jc w:val="both"/>
            </w:pPr>
            <w:r>
              <w:rPr>
                <w:sz w:val="20"/>
              </w:rPr>
              <w:t xml:space="preserve">608611,7</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6.1</w:t>
            </w:r>
          </w:p>
        </w:tc>
        <w:tc>
          <w:tcPr>
            <w:tcW w:w="2778" w:type="dxa"/>
            <w:vAlign w:val="center"/>
            <w:vMerge w:val="restart"/>
          </w:tcPr>
          <w:p>
            <w:pPr>
              <w:pStyle w:val="0"/>
            </w:pPr>
            <w:r>
              <w:rPr>
                <w:sz w:val="20"/>
              </w:rPr>
              <w:t xml:space="preserve">Обеспечение функций органов власти Белгородской области, в том числе территориальных органов</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1084712,6</w:t>
            </w:r>
          </w:p>
        </w:tc>
        <w:tc>
          <w:tcPr>
            <w:tcW w:w="1144" w:type="dxa"/>
            <w:vAlign w:val="center"/>
          </w:tcPr>
          <w:p>
            <w:pPr>
              <w:pStyle w:val="0"/>
              <w:jc w:val="both"/>
            </w:pPr>
            <w:r>
              <w:rPr>
                <w:sz w:val="20"/>
              </w:rPr>
              <w:t xml:space="preserve">96361</w:t>
            </w:r>
          </w:p>
        </w:tc>
        <w:tc>
          <w:tcPr>
            <w:tcW w:w="1144" w:type="dxa"/>
            <w:vAlign w:val="center"/>
          </w:tcPr>
          <w:p>
            <w:pPr>
              <w:pStyle w:val="0"/>
              <w:jc w:val="both"/>
            </w:pPr>
            <w:r>
              <w:rPr>
                <w:sz w:val="20"/>
              </w:rPr>
              <w:t xml:space="preserve">116965,7</w:t>
            </w:r>
          </w:p>
        </w:tc>
        <w:tc>
          <w:tcPr>
            <w:tcW w:w="1144" w:type="dxa"/>
            <w:vAlign w:val="center"/>
          </w:tcPr>
          <w:p>
            <w:pPr>
              <w:pStyle w:val="0"/>
              <w:jc w:val="both"/>
            </w:pPr>
            <w:r>
              <w:rPr>
                <w:sz w:val="20"/>
              </w:rPr>
              <w:t xml:space="preserve">98524</w:t>
            </w:r>
          </w:p>
        </w:tc>
        <w:tc>
          <w:tcPr>
            <w:tcW w:w="1144" w:type="dxa"/>
            <w:vAlign w:val="center"/>
          </w:tcPr>
          <w:p>
            <w:pPr>
              <w:pStyle w:val="0"/>
              <w:jc w:val="both"/>
            </w:pPr>
            <w:r>
              <w:rPr>
                <w:sz w:val="20"/>
              </w:rPr>
              <w:t xml:space="preserve">102446</w:t>
            </w:r>
          </w:p>
        </w:tc>
        <w:tc>
          <w:tcPr>
            <w:tcW w:w="1024" w:type="dxa"/>
            <w:vAlign w:val="center"/>
          </w:tcPr>
          <w:p>
            <w:pPr>
              <w:pStyle w:val="0"/>
              <w:jc w:val="both"/>
            </w:pPr>
            <w:r>
              <w:rPr>
                <w:sz w:val="20"/>
              </w:rPr>
              <w:t xml:space="preserve">105643</w:t>
            </w:r>
          </w:p>
        </w:tc>
        <w:tc>
          <w:tcPr>
            <w:tcW w:w="1144" w:type="dxa"/>
            <w:vAlign w:val="center"/>
          </w:tcPr>
          <w:p>
            <w:pPr>
              <w:pStyle w:val="0"/>
              <w:jc w:val="both"/>
            </w:pPr>
            <w:r>
              <w:rPr>
                <w:sz w:val="20"/>
              </w:rPr>
              <w:t xml:space="preserve">519939,7</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1084712,6</w:t>
            </w:r>
          </w:p>
        </w:tc>
        <w:tc>
          <w:tcPr>
            <w:tcW w:w="1144" w:type="dxa"/>
            <w:vAlign w:val="center"/>
          </w:tcPr>
          <w:p>
            <w:pPr>
              <w:pStyle w:val="0"/>
              <w:jc w:val="both"/>
            </w:pPr>
            <w:r>
              <w:rPr>
                <w:sz w:val="20"/>
              </w:rPr>
              <w:t xml:space="preserve">96361</w:t>
            </w:r>
          </w:p>
        </w:tc>
        <w:tc>
          <w:tcPr>
            <w:tcW w:w="1144" w:type="dxa"/>
            <w:vAlign w:val="center"/>
          </w:tcPr>
          <w:p>
            <w:pPr>
              <w:pStyle w:val="0"/>
              <w:jc w:val="both"/>
            </w:pPr>
            <w:r>
              <w:rPr>
                <w:sz w:val="20"/>
              </w:rPr>
              <w:t xml:space="preserve">116965,7</w:t>
            </w:r>
          </w:p>
        </w:tc>
        <w:tc>
          <w:tcPr>
            <w:tcW w:w="1144" w:type="dxa"/>
            <w:vAlign w:val="center"/>
          </w:tcPr>
          <w:p>
            <w:pPr>
              <w:pStyle w:val="0"/>
              <w:jc w:val="both"/>
            </w:pPr>
            <w:r>
              <w:rPr>
                <w:sz w:val="20"/>
              </w:rPr>
              <w:t xml:space="preserve">98524</w:t>
            </w:r>
          </w:p>
        </w:tc>
        <w:tc>
          <w:tcPr>
            <w:tcW w:w="1144" w:type="dxa"/>
            <w:vAlign w:val="center"/>
          </w:tcPr>
          <w:p>
            <w:pPr>
              <w:pStyle w:val="0"/>
              <w:jc w:val="both"/>
            </w:pPr>
            <w:r>
              <w:rPr>
                <w:sz w:val="20"/>
              </w:rPr>
              <w:t xml:space="preserve">102446</w:t>
            </w:r>
          </w:p>
        </w:tc>
        <w:tc>
          <w:tcPr>
            <w:tcW w:w="1024" w:type="dxa"/>
            <w:vAlign w:val="center"/>
          </w:tcPr>
          <w:p>
            <w:pPr>
              <w:pStyle w:val="0"/>
              <w:jc w:val="both"/>
            </w:pPr>
            <w:r>
              <w:rPr>
                <w:sz w:val="20"/>
              </w:rPr>
              <w:t xml:space="preserve">105643</w:t>
            </w:r>
          </w:p>
        </w:tc>
        <w:tc>
          <w:tcPr>
            <w:tcW w:w="1144" w:type="dxa"/>
            <w:vAlign w:val="center"/>
          </w:tcPr>
          <w:p>
            <w:pPr>
              <w:pStyle w:val="0"/>
              <w:jc w:val="both"/>
            </w:pPr>
            <w:r>
              <w:rPr>
                <w:sz w:val="20"/>
              </w:rPr>
              <w:t xml:space="preserve">519939,7</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6.2</w:t>
            </w:r>
          </w:p>
        </w:tc>
        <w:tc>
          <w:tcPr>
            <w:tcW w:w="2778" w:type="dxa"/>
            <w:vAlign w:val="center"/>
            <w:vMerge w:val="restart"/>
          </w:tcPr>
          <w:p>
            <w:pPr>
              <w:pStyle w:val="0"/>
            </w:pPr>
            <w:r>
              <w:rPr>
                <w:sz w:val="20"/>
              </w:rPr>
              <w:t xml:space="preserve">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185517</w:t>
            </w:r>
          </w:p>
        </w:tc>
        <w:tc>
          <w:tcPr>
            <w:tcW w:w="1144" w:type="dxa"/>
            <w:vAlign w:val="center"/>
          </w:tcPr>
          <w:p>
            <w:pPr>
              <w:pStyle w:val="0"/>
              <w:jc w:val="both"/>
            </w:pPr>
            <w:r>
              <w:rPr>
                <w:sz w:val="20"/>
              </w:rPr>
              <w:t xml:space="preserve">17305</w:t>
            </w:r>
          </w:p>
        </w:tc>
        <w:tc>
          <w:tcPr>
            <w:tcW w:w="1144" w:type="dxa"/>
            <w:vAlign w:val="center"/>
          </w:tcPr>
          <w:p>
            <w:pPr>
              <w:pStyle w:val="0"/>
              <w:jc w:val="both"/>
            </w:pPr>
            <w:r>
              <w:rPr>
                <w:sz w:val="20"/>
              </w:rPr>
              <w:t xml:space="preserve">17108</w:t>
            </w:r>
          </w:p>
        </w:tc>
        <w:tc>
          <w:tcPr>
            <w:tcW w:w="1144" w:type="dxa"/>
            <w:vAlign w:val="center"/>
          </w:tcPr>
          <w:p>
            <w:pPr>
              <w:pStyle w:val="0"/>
              <w:jc w:val="both"/>
            </w:pPr>
            <w:r>
              <w:rPr>
                <w:sz w:val="20"/>
              </w:rPr>
              <w:t xml:space="preserve">17321</w:t>
            </w:r>
          </w:p>
        </w:tc>
        <w:tc>
          <w:tcPr>
            <w:tcW w:w="1144" w:type="dxa"/>
            <w:vAlign w:val="center"/>
          </w:tcPr>
          <w:p>
            <w:pPr>
              <w:pStyle w:val="0"/>
              <w:jc w:val="both"/>
            </w:pPr>
            <w:r>
              <w:rPr>
                <w:sz w:val="20"/>
              </w:rPr>
              <w:t xml:space="preserve">18130</w:t>
            </w:r>
          </w:p>
        </w:tc>
        <w:tc>
          <w:tcPr>
            <w:tcW w:w="1024" w:type="dxa"/>
            <w:vAlign w:val="center"/>
          </w:tcPr>
          <w:p>
            <w:pPr>
              <w:pStyle w:val="0"/>
              <w:jc w:val="both"/>
            </w:pPr>
            <w:r>
              <w:rPr>
                <w:sz w:val="20"/>
              </w:rPr>
              <w:t xml:space="preserve">18808</w:t>
            </w:r>
          </w:p>
        </w:tc>
        <w:tc>
          <w:tcPr>
            <w:tcW w:w="1144" w:type="dxa"/>
            <w:vAlign w:val="center"/>
          </w:tcPr>
          <w:p>
            <w:pPr>
              <w:pStyle w:val="0"/>
              <w:jc w:val="both"/>
            </w:pPr>
            <w:r>
              <w:rPr>
                <w:sz w:val="20"/>
              </w:rPr>
              <w:t xml:space="preserve">88672</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185517</w:t>
            </w:r>
          </w:p>
        </w:tc>
        <w:tc>
          <w:tcPr>
            <w:tcW w:w="1144" w:type="dxa"/>
            <w:vAlign w:val="center"/>
          </w:tcPr>
          <w:p>
            <w:pPr>
              <w:pStyle w:val="0"/>
              <w:jc w:val="both"/>
            </w:pPr>
            <w:r>
              <w:rPr>
                <w:sz w:val="20"/>
              </w:rPr>
              <w:t xml:space="preserve">17305</w:t>
            </w:r>
          </w:p>
        </w:tc>
        <w:tc>
          <w:tcPr>
            <w:tcW w:w="1144" w:type="dxa"/>
            <w:vAlign w:val="center"/>
          </w:tcPr>
          <w:p>
            <w:pPr>
              <w:pStyle w:val="0"/>
              <w:jc w:val="both"/>
            </w:pPr>
            <w:r>
              <w:rPr>
                <w:sz w:val="20"/>
              </w:rPr>
              <w:t xml:space="preserve">17108</w:t>
            </w:r>
          </w:p>
        </w:tc>
        <w:tc>
          <w:tcPr>
            <w:tcW w:w="1144" w:type="dxa"/>
            <w:vAlign w:val="center"/>
          </w:tcPr>
          <w:p>
            <w:pPr>
              <w:pStyle w:val="0"/>
              <w:jc w:val="both"/>
            </w:pPr>
            <w:r>
              <w:rPr>
                <w:sz w:val="20"/>
              </w:rPr>
              <w:t xml:space="preserve">17321</w:t>
            </w:r>
          </w:p>
        </w:tc>
        <w:tc>
          <w:tcPr>
            <w:tcW w:w="1144" w:type="dxa"/>
            <w:vAlign w:val="center"/>
          </w:tcPr>
          <w:p>
            <w:pPr>
              <w:pStyle w:val="0"/>
              <w:jc w:val="both"/>
            </w:pPr>
            <w:r>
              <w:rPr>
                <w:sz w:val="20"/>
              </w:rPr>
              <w:t xml:space="preserve">18130</w:t>
            </w:r>
          </w:p>
        </w:tc>
        <w:tc>
          <w:tcPr>
            <w:tcW w:w="1024" w:type="dxa"/>
            <w:vAlign w:val="center"/>
          </w:tcPr>
          <w:p>
            <w:pPr>
              <w:pStyle w:val="0"/>
              <w:jc w:val="both"/>
            </w:pPr>
            <w:r>
              <w:rPr>
                <w:sz w:val="20"/>
              </w:rPr>
              <w:t xml:space="preserve">18808</w:t>
            </w:r>
          </w:p>
        </w:tc>
        <w:tc>
          <w:tcPr>
            <w:tcW w:w="1144" w:type="dxa"/>
            <w:vAlign w:val="center"/>
          </w:tcPr>
          <w:p>
            <w:pPr>
              <w:pStyle w:val="0"/>
              <w:jc w:val="both"/>
            </w:pPr>
            <w:r>
              <w:rPr>
                <w:sz w:val="20"/>
              </w:rPr>
              <w:t xml:space="preserve">88672</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Подпрограмма 7</w:t>
            </w:r>
          </w:p>
        </w:tc>
        <w:tc>
          <w:tcPr>
            <w:tcW w:w="2778" w:type="dxa"/>
            <w:vAlign w:val="center"/>
            <w:vMerge w:val="restart"/>
          </w:tcPr>
          <w:p>
            <w:pPr>
              <w:pStyle w:val="0"/>
            </w:pPr>
            <w:r>
              <w:rPr>
                <w:sz w:val="20"/>
              </w:rPr>
              <w:t xml:space="preserve">Обращение с твердыми коммунальными отходами на территории Белгородской области</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3007997,9</w:t>
            </w:r>
          </w:p>
        </w:tc>
        <w:tc>
          <w:tcPr>
            <w:tcW w:w="1144" w:type="dxa"/>
            <w:vAlign w:val="center"/>
          </w:tcPr>
          <w:p>
            <w:pPr>
              <w:pStyle w:val="0"/>
              <w:jc w:val="both"/>
            </w:pPr>
            <w:r>
              <w:rPr>
                <w:sz w:val="20"/>
              </w:rPr>
              <w:t xml:space="preserve">139586,27</w:t>
            </w:r>
          </w:p>
        </w:tc>
        <w:tc>
          <w:tcPr>
            <w:tcW w:w="1144" w:type="dxa"/>
            <w:vAlign w:val="center"/>
          </w:tcPr>
          <w:p>
            <w:pPr>
              <w:pStyle w:val="0"/>
              <w:jc w:val="both"/>
            </w:pPr>
            <w:r>
              <w:rPr>
                <w:sz w:val="20"/>
              </w:rPr>
              <w:t xml:space="preserve">640142,7</w:t>
            </w:r>
          </w:p>
        </w:tc>
        <w:tc>
          <w:tcPr>
            <w:tcW w:w="1144" w:type="dxa"/>
            <w:vAlign w:val="center"/>
          </w:tcPr>
          <w:p>
            <w:pPr>
              <w:pStyle w:val="0"/>
              <w:jc w:val="both"/>
            </w:pPr>
            <w:r>
              <w:rPr>
                <w:sz w:val="20"/>
              </w:rPr>
              <w:t xml:space="preserve">613844,1</w:t>
            </w:r>
          </w:p>
        </w:tc>
        <w:tc>
          <w:tcPr>
            <w:tcW w:w="1144" w:type="dxa"/>
            <w:vAlign w:val="center"/>
          </w:tcPr>
          <w:p>
            <w:pPr>
              <w:pStyle w:val="0"/>
              <w:jc w:val="both"/>
            </w:pPr>
            <w:r>
              <w:rPr>
                <w:sz w:val="20"/>
              </w:rPr>
              <w:t xml:space="preserve">692647,7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2086220,8</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985079,3</w:t>
            </w:r>
          </w:p>
        </w:tc>
        <w:tc>
          <w:tcPr>
            <w:tcW w:w="1144" w:type="dxa"/>
            <w:vAlign w:val="center"/>
          </w:tcPr>
          <w:p>
            <w:pPr>
              <w:pStyle w:val="0"/>
              <w:jc w:val="both"/>
            </w:pPr>
            <w:r>
              <w:rPr>
                <w:sz w:val="20"/>
              </w:rPr>
              <w:t xml:space="preserve">9544,30</w:t>
            </w:r>
          </w:p>
        </w:tc>
        <w:tc>
          <w:tcPr>
            <w:tcW w:w="1144" w:type="dxa"/>
            <w:vAlign w:val="center"/>
          </w:tcPr>
          <w:p>
            <w:pPr>
              <w:pStyle w:val="0"/>
              <w:jc w:val="both"/>
            </w:pPr>
            <w:r>
              <w:rPr>
                <w:sz w:val="20"/>
              </w:rPr>
              <w:t xml:space="preserve">444097,9</w:t>
            </w:r>
          </w:p>
        </w:tc>
        <w:tc>
          <w:tcPr>
            <w:tcW w:w="1144" w:type="dxa"/>
            <w:vAlign w:val="center"/>
          </w:tcPr>
          <w:p>
            <w:pPr>
              <w:pStyle w:val="0"/>
              <w:jc w:val="both"/>
            </w:pPr>
            <w:r>
              <w:rPr>
                <w:sz w:val="20"/>
              </w:rPr>
              <w:t xml:space="preserve">234726,7</w:t>
            </w:r>
          </w:p>
        </w:tc>
        <w:tc>
          <w:tcPr>
            <w:tcW w:w="1144" w:type="dxa"/>
            <w:vAlign w:val="center"/>
          </w:tcPr>
          <w:p>
            <w:pPr>
              <w:pStyle w:val="0"/>
              <w:jc w:val="both"/>
            </w:pPr>
            <w:r>
              <w:rPr>
                <w:sz w:val="20"/>
              </w:rPr>
              <w:t xml:space="preserve">185650,7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874019,6</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854954,6</w:t>
            </w:r>
          </w:p>
        </w:tc>
        <w:tc>
          <w:tcPr>
            <w:tcW w:w="1144" w:type="dxa"/>
            <w:vAlign w:val="center"/>
          </w:tcPr>
          <w:p>
            <w:pPr>
              <w:pStyle w:val="0"/>
              <w:jc w:val="both"/>
            </w:pPr>
            <w:r>
              <w:rPr>
                <w:sz w:val="20"/>
              </w:rPr>
              <w:t xml:space="preserve">41491,20</w:t>
            </w:r>
          </w:p>
        </w:tc>
        <w:tc>
          <w:tcPr>
            <w:tcW w:w="1144" w:type="dxa"/>
            <w:vAlign w:val="center"/>
          </w:tcPr>
          <w:p>
            <w:pPr>
              <w:pStyle w:val="0"/>
              <w:jc w:val="both"/>
            </w:pPr>
            <w:r>
              <w:rPr>
                <w:sz w:val="20"/>
              </w:rPr>
              <w:t xml:space="preserve">142900,7</w:t>
            </w:r>
          </w:p>
        </w:tc>
        <w:tc>
          <w:tcPr>
            <w:tcW w:w="1144" w:type="dxa"/>
            <w:vAlign w:val="center"/>
          </w:tcPr>
          <w:p>
            <w:pPr>
              <w:pStyle w:val="0"/>
              <w:jc w:val="both"/>
            </w:pPr>
            <w:r>
              <w:rPr>
                <w:sz w:val="20"/>
              </w:rPr>
              <w:t xml:space="preserve">319002,8</w:t>
            </w:r>
          </w:p>
        </w:tc>
        <w:tc>
          <w:tcPr>
            <w:tcW w:w="1144" w:type="dxa"/>
            <w:vAlign w:val="center"/>
          </w:tcPr>
          <w:p>
            <w:pPr>
              <w:pStyle w:val="0"/>
              <w:jc w:val="both"/>
            </w:pPr>
            <w:r>
              <w:rPr>
                <w:sz w:val="20"/>
              </w:rPr>
              <w:t xml:space="preserve">257269,5</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760664,2</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179144,2</w:t>
            </w:r>
          </w:p>
        </w:tc>
        <w:tc>
          <w:tcPr>
            <w:tcW w:w="1144" w:type="dxa"/>
            <w:vAlign w:val="center"/>
          </w:tcPr>
          <w:p>
            <w:pPr>
              <w:pStyle w:val="0"/>
              <w:jc w:val="both"/>
            </w:pPr>
            <w:r>
              <w:rPr>
                <w:sz w:val="20"/>
              </w:rPr>
              <w:t xml:space="preserve">3953,07</w:t>
            </w:r>
          </w:p>
        </w:tc>
        <w:tc>
          <w:tcPr>
            <w:tcW w:w="1144" w:type="dxa"/>
            <w:vAlign w:val="center"/>
          </w:tcPr>
          <w:p>
            <w:pPr>
              <w:pStyle w:val="0"/>
              <w:jc w:val="both"/>
            </w:pPr>
            <w:r>
              <w:rPr>
                <w:sz w:val="20"/>
              </w:rPr>
              <w:t xml:space="preserve">53144,1</w:t>
            </w:r>
          </w:p>
        </w:tc>
        <w:tc>
          <w:tcPr>
            <w:tcW w:w="1144" w:type="dxa"/>
            <w:vAlign w:val="center"/>
          </w:tcPr>
          <w:p>
            <w:pPr>
              <w:pStyle w:val="0"/>
              <w:jc w:val="both"/>
            </w:pPr>
            <w:r>
              <w:rPr>
                <w:sz w:val="20"/>
              </w:rPr>
              <w:t xml:space="preserve">60114,6</w:t>
            </w:r>
          </w:p>
        </w:tc>
        <w:tc>
          <w:tcPr>
            <w:tcW w:w="1144" w:type="dxa"/>
            <w:vAlign w:val="center"/>
          </w:tcPr>
          <w:p>
            <w:pPr>
              <w:pStyle w:val="0"/>
              <w:jc w:val="both"/>
            </w:pPr>
            <w:r>
              <w:rPr>
                <w:sz w:val="20"/>
              </w:rPr>
              <w:t xml:space="preserve">52660,5</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169872,3</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t xml:space="preserve">988819,8</w:t>
            </w:r>
          </w:p>
        </w:tc>
        <w:tc>
          <w:tcPr>
            <w:tcW w:w="1144" w:type="dxa"/>
            <w:vAlign w:val="center"/>
          </w:tcPr>
          <w:p>
            <w:pPr>
              <w:pStyle w:val="0"/>
              <w:jc w:val="both"/>
            </w:pPr>
            <w:r>
              <w:rPr>
                <w:sz w:val="20"/>
              </w:rPr>
              <w:t xml:space="preserve">84597,7</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197067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281664,7</w:t>
            </w:r>
          </w:p>
        </w:tc>
      </w:tr>
      <w:tr>
        <w:tc>
          <w:tcPr>
            <w:tcW w:w="1849" w:type="dxa"/>
            <w:vAlign w:val="center"/>
            <w:vMerge w:val="restart"/>
          </w:tcPr>
          <w:p>
            <w:pPr>
              <w:pStyle w:val="0"/>
            </w:pPr>
            <w:r>
              <w:rPr>
                <w:sz w:val="20"/>
              </w:rPr>
              <w:t xml:space="preserve">Основное мероприятие 7.1</w:t>
            </w:r>
          </w:p>
        </w:tc>
        <w:tc>
          <w:tcPr>
            <w:tcW w:w="2778" w:type="dxa"/>
            <w:vAlign w:val="center"/>
            <w:vMerge w:val="restart"/>
          </w:tcPr>
          <w:p>
            <w:pPr>
              <w:pStyle w:val="0"/>
            </w:pPr>
            <w:r>
              <w:rPr>
                <w:sz w:val="20"/>
              </w:rPr>
              <w:t xml:space="preserve">Создание эффективных механизмов управления в отрасли обращения с твердыми коммунальными отходами</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1028304,9</w:t>
            </w:r>
          </w:p>
        </w:tc>
        <w:tc>
          <w:tcPr>
            <w:tcW w:w="1144" w:type="dxa"/>
            <w:vAlign w:val="center"/>
          </w:tcPr>
          <w:p>
            <w:pPr>
              <w:pStyle w:val="0"/>
              <w:jc w:val="both"/>
            </w:pPr>
            <w:r>
              <w:rPr>
                <w:sz w:val="20"/>
              </w:rPr>
              <w:t xml:space="preserve">66882,10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197067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263949,1</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54227,2</w:t>
            </w:r>
          </w:p>
        </w:tc>
        <w:tc>
          <w:tcPr>
            <w:tcW w:w="1144" w:type="dxa"/>
            <w:vAlign w:val="center"/>
          </w:tcPr>
          <w:p>
            <w:pPr>
              <w:pStyle w:val="0"/>
              <w:jc w:val="both"/>
            </w:pPr>
            <w:r>
              <w:rPr>
                <w:sz w:val="20"/>
              </w:rPr>
              <w:t xml:space="preserve">3125,80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3125,8</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6255,6</w:t>
            </w:r>
          </w:p>
        </w:tc>
        <w:tc>
          <w:tcPr>
            <w:tcW w:w="1144" w:type="dxa"/>
            <w:vAlign w:val="center"/>
          </w:tcPr>
          <w:p>
            <w:pPr>
              <w:pStyle w:val="0"/>
              <w:jc w:val="both"/>
            </w:pPr>
            <w:r>
              <w:rPr>
                <w:sz w:val="20"/>
              </w:rPr>
              <w:t xml:space="preserve">156,30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156,3</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t xml:space="preserve">967822,1</w:t>
            </w:r>
          </w:p>
        </w:tc>
        <w:tc>
          <w:tcPr>
            <w:tcW w:w="1144" w:type="dxa"/>
            <w:vAlign w:val="center"/>
          </w:tcPr>
          <w:p>
            <w:pPr>
              <w:pStyle w:val="0"/>
              <w:jc w:val="both"/>
            </w:pPr>
            <w:r>
              <w:rPr>
                <w:sz w:val="20"/>
              </w:rPr>
              <w:t xml:space="preserve">63600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197067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260667</w:t>
            </w:r>
          </w:p>
        </w:tc>
      </w:tr>
      <w:tr>
        <w:tc>
          <w:tcPr>
            <w:tcW w:w="1849" w:type="dxa"/>
            <w:vAlign w:val="center"/>
            <w:vMerge w:val="restart"/>
          </w:tcPr>
          <w:p>
            <w:pPr>
              <w:pStyle w:val="0"/>
            </w:pPr>
            <w:r>
              <w:rPr>
                <w:sz w:val="20"/>
              </w:rPr>
              <w:t xml:space="preserve">Основное мероприятие 7.2</w:t>
            </w:r>
          </w:p>
        </w:tc>
        <w:tc>
          <w:tcPr>
            <w:tcW w:w="2778" w:type="dxa"/>
            <w:vAlign w:val="center"/>
            <w:vMerge w:val="restart"/>
          </w:tcPr>
          <w:p>
            <w:pPr>
              <w:pStyle w:val="0"/>
            </w:pPr>
            <w:r>
              <w:rPr>
                <w:sz w:val="20"/>
              </w:rPr>
              <w:t xml:space="preserve">Разработка электронной модели территориальной схемы по обращению с отходами</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16000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6000</w:t>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6000</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16000</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6000</w:t>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6000</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Основное мероприятие 7.3</w:t>
            </w:r>
          </w:p>
        </w:tc>
        <w:tc>
          <w:tcPr>
            <w:tcW w:w="2778" w:type="dxa"/>
            <w:vAlign w:val="center"/>
            <w:vMerge w:val="restart"/>
          </w:tcPr>
          <w:p>
            <w:pPr>
              <w:pStyle w:val="0"/>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123126,2</w:t>
            </w:r>
          </w:p>
        </w:tc>
        <w:tc>
          <w:tcPr>
            <w:tcW w:w="1144" w:type="dxa"/>
            <w:vAlign w:val="center"/>
          </w:tcPr>
          <w:p>
            <w:pPr>
              <w:pStyle w:val="0"/>
              <w:jc w:val="both"/>
            </w:pPr>
            <w:r>
              <w:rPr>
                <w:sz w:val="20"/>
              </w:rPr>
              <w:t xml:space="preserve">41764,47</w:t>
            </w:r>
          </w:p>
        </w:tc>
        <w:tc>
          <w:tcPr>
            <w:tcW w:w="1144" w:type="dxa"/>
            <w:vAlign w:val="center"/>
          </w:tcPr>
          <w:p>
            <w:pPr>
              <w:pStyle w:val="0"/>
              <w:jc w:val="both"/>
            </w:pPr>
            <w:r>
              <w:rPr>
                <w:sz w:val="20"/>
              </w:rPr>
              <w:t xml:space="preserve">8100</w:t>
            </w:r>
          </w:p>
        </w:tc>
        <w:tc>
          <w:tcPr>
            <w:tcW w:w="1144" w:type="dxa"/>
            <w:vAlign w:val="center"/>
          </w:tcPr>
          <w:p>
            <w:pPr>
              <w:pStyle w:val="0"/>
              <w:jc w:val="both"/>
            </w:pPr>
            <w:r>
              <w:rPr>
                <w:sz w:val="20"/>
              </w:rPr>
              <w:t xml:space="preserve">41541,2</w:t>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91405,7</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110415,9</w:t>
            </w:r>
          </w:p>
        </w:tc>
        <w:tc>
          <w:tcPr>
            <w:tcW w:w="1144" w:type="dxa"/>
            <w:vAlign w:val="center"/>
          </w:tcPr>
          <w:p>
            <w:pPr>
              <w:pStyle w:val="0"/>
              <w:jc w:val="both"/>
            </w:pPr>
            <w:r>
              <w:rPr>
                <w:sz w:val="20"/>
              </w:rPr>
              <w:t xml:space="preserve">37967,7</w:t>
            </w:r>
          </w:p>
        </w:tc>
        <w:tc>
          <w:tcPr>
            <w:tcW w:w="1144" w:type="dxa"/>
            <w:vAlign w:val="center"/>
          </w:tcPr>
          <w:p>
            <w:pPr>
              <w:pStyle w:val="0"/>
              <w:jc w:val="both"/>
            </w:pPr>
            <w:r>
              <w:rPr>
                <w:sz w:val="20"/>
              </w:rPr>
              <w:t xml:space="preserve">6413,2</w:t>
            </w:r>
          </w:p>
        </w:tc>
        <w:tc>
          <w:tcPr>
            <w:tcW w:w="1144" w:type="dxa"/>
            <w:vAlign w:val="center"/>
          </w:tcPr>
          <w:p>
            <w:pPr>
              <w:pStyle w:val="0"/>
              <w:jc w:val="both"/>
            </w:pPr>
            <w:r>
              <w:rPr>
                <w:sz w:val="20"/>
              </w:rPr>
              <w:t xml:space="preserve">37487,1</w:t>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81868</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12710,3</w:t>
            </w:r>
          </w:p>
        </w:tc>
        <w:tc>
          <w:tcPr>
            <w:tcW w:w="1144" w:type="dxa"/>
            <w:vAlign w:val="center"/>
          </w:tcPr>
          <w:p>
            <w:pPr>
              <w:pStyle w:val="0"/>
              <w:jc w:val="both"/>
            </w:pPr>
            <w:r>
              <w:rPr>
                <w:sz w:val="20"/>
              </w:rPr>
              <w:t xml:space="preserve">3796,77</w:t>
            </w:r>
          </w:p>
        </w:tc>
        <w:tc>
          <w:tcPr>
            <w:tcW w:w="1144" w:type="dxa"/>
            <w:vAlign w:val="center"/>
          </w:tcPr>
          <w:p>
            <w:pPr>
              <w:pStyle w:val="0"/>
              <w:jc w:val="both"/>
            </w:pPr>
            <w:r>
              <w:rPr>
                <w:sz w:val="20"/>
              </w:rPr>
              <w:t xml:space="preserve">1686,8</w:t>
            </w:r>
          </w:p>
        </w:tc>
        <w:tc>
          <w:tcPr>
            <w:tcW w:w="1144" w:type="dxa"/>
            <w:vAlign w:val="center"/>
          </w:tcPr>
          <w:p>
            <w:pPr>
              <w:pStyle w:val="0"/>
              <w:jc w:val="both"/>
            </w:pPr>
            <w:r>
              <w:rPr>
                <w:sz w:val="20"/>
              </w:rPr>
              <w:t xml:space="preserve">4054,1</w:t>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9537,7</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Проект 7.G1</w:t>
            </w:r>
          </w:p>
        </w:tc>
        <w:tc>
          <w:tcPr>
            <w:tcW w:w="2778" w:type="dxa"/>
            <w:vAlign w:val="center"/>
            <w:vMerge w:val="restart"/>
          </w:tcPr>
          <w:p>
            <w:pPr>
              <w:pStyle w:val="0"/>
            </w:pPr>
            <w:r>
              <w:rPr>
                <w:sz w:val="20"/>
              </w:rPr>
              <w:t xml:space="preserve">"Чистая страна"</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1669157,5</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607273,9</w:t>
            </w:r>
          </w:p>
        </w:tc>
        <w:tc>
          <w:tcPr>
            <w:tcW w:w="1144" w:type="dxa"/>
            <w:vAlign w:val="center"/>
          </w:tcPr>
          <w:p>
            <w:pPr>
              <w:pStyle w:val="0"/>
              <w:jc w:val="both"/>
            </w:pPr>
            <w:r>
              <w:rPr>
                <w:sz w:val="20"/>
              </w:rPr>
              <w:t xml:space="preserve">566302,9</w:t>
            </w:r>
          </w:p>
        </w:tc>
        <w:tc>
          <w:tcPr>
            <w:tcW w:w="1144" w:type="dxa"/>
            <w:vAlign w:val="center"/>
          </w:tcPr>
          <w:p>
            <w:pPr>
              <w:pStyle w:val="0"/>
              <w:jc w:val="both"/>
            </w:pPr>
            <w:r>
              <w:rPr>
                <w:sz w:val="20"/>
              </w:rPr>
              <w:t xml:space="preserve">495580,7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1669157,5</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840755,4</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420378</w:t>
            </w:r>
          </w:p>
        </w:tc>
        <w:tc>
          <w:tcPr>
            <w:tcW w:w="1144" w:type="dxa"/>
            <w:vAlign w:val="center"/>
          </w:tcPr>
          <w:p>
            <w:pPr>
              <w:pStyle w:val="0"/>
              <w:jc w:val="both"/>
            </w:pPr>
            <w:r>
              <w:rPr>
                <w:sz w:val="20"/>
              </w:rPr>
              <w:t xml:space="preserve">234726,7</w:t>
            </w:r>
          </w:p>
        </w:tc>
        <w:tc>
          <w:tcPr>
            <w:tcW w:w="1144" w:type="dxa"/>
            <w:vAlign w:val="center"/>
          </w:tcPr>
          <w:p>
            <w:pPr>
              <w:pStyle w:val="0"/>
              <w:jc w:val="both"/>
            </w:pPr>
            <w:r>
              <w:rPr>
                <w:sz w:val="20"/>
              </w:rPr>
              <w:t xml:space="preserve">185650,7</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840755,4</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668283,2</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135498</w:t>
            </w:r>
          </w:p>
        </w:tc>
        <w:tc>
          <w:tcPr>
            <w:tcW w:w="1144" w:type="dxa"/>
            <w:vAlign w:val="center"/>
          </w:tcPr>
          <w:p>
            <w:pPr>
              <w:pStyle w:val="0"/>
              <w:jc w:val="both"/>
            </w:pPr>
            <w:r>
              <w:rPr>
                <w:sz w:val="20"/>
              </w:rPr>
              <w:t xml:space="preserve">275515,7</w:t>
            </w:r>
          </w:p>
        </w:tc>
        <w:tc>
          <w:tcPr>
            <w:tcW w:w="1144" w:type="dxa"/>
            <w:vAlign w:val="center"/>
          </w:tcPr>
          <w:p>
            <w:pPr>
              <w:pStyle w:val="0"/>
              <w:jc w:val="both"/>
            </w:pPr>
            <w:r>
              <w:rPr>
                <w:sz w:val="20"/>
              </w:rPr>
              <w:t xml:space="preserve">257269,5</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668283,2</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160118,9</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51397,9</w:t>
            </w:r>
          </w:p>
        </w:tc>
        <w:tc>
          <w:tcPr>
            <w:tcW w:w="1144" w:type="dxa"/>
            <w:vAlign w:val="center"/>
          </w:tcPr>
          <w:p>
            <w:pPr>
              <w:pStyle w:val="0"/>
              <w:jc w:val="both"/>
            </w:pPr>
            <w:r>
              <w:rPr>
                <w:sz w:val="20"/>
              </w:rPr>
              <w:t xml:space="preserve">56060,5</w:t>
            </w:r>
          </w:p>
        </w:tc>
        <w:tc>
          <w:tcPr>
            <w:tcW w:w="1144" w:type="dxa"/>
            <w:vAlign w:val="center"/>
          </w:tcPr>
          <w:p>
            <w:pPr>
              <w:pStyle w:val="0"/>
              <w:jc w:val="both"/>
            </w:pPr>
            <w:r>
              <w:rPr>
                <w:sz w:val="20"/>
              </w:rPr>
              <w:t xml:space="preserve">52660,5</w:t>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160118,9</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tcW w:w="1849" w:type="dxa"/>
            <w:vAlign w:val="center"/>
            <w:vMerge w:val="restart"/>
          </w:tcPr>
          <w:p>
            <w:pPr>
              <w:pStyle w:val="0"/>
            </w:pPr>
            <w:r>
              <w:rPr>
                <w:sz w:val="20"/>
              </w:rPr>
              <w:t xml:space="preserve">Проект 7.G2</w:t>
            </w:r>
          </w:p>
        </w:tc>
        <w:tc>
          <w:tcPr>
            <w:tcW w:w="2778" w:type="dxa"/>
            <w:vAlign w:val="center"/>
            <w:vMerge w:val="restart"/>
          </w:tcPr>
          <w:p>
            <w:pPr>
              <w:pStyle w:val="0"/>
            </w:pPr>
            <w:r>
              <w:rPr>
                <w:sz w:val="20"/>
              </w:rPr>
              <w:t xml:space="preserve">Комплексная система обращения с твердыми коммунальными отходами</w:t>
            </w:r>
          </w:p>
        </w:tc>
        <w:tc>
          <w:tcPr>
            <w:tcW w:w="2224" w:type="dxa"/>
            <w:vAlign w:val="center"/>
          </w:tcPr>
          <w:p>
            <w:pPr>
              <w:pStyle w:val="0"/>
            </w:pPr>
            <w:r>
              <w:rPr>
                <w:sz w:val="20"/>
              </w:rPr>
              <w:t xml:space="preserve">Всего</w:t>
            </w:r>
          </w:p>
        </w:tc>
        <w:tc>
          <w:tcPr>
            <w:tcW w:w="1909" w:type="dxa"/>
            <w:vAlign w:val="center"/>
          </w:tcPr>
          <w:p>
            <w:pPr>
              <w:pStyle w:val="0"/>
              <w:jc w:val="both"/>
            </w:pPr>
            <w:r>
              <w:rPr>
                <w:sz w:val="20"/>
              </w:rPr>
              <w:t xml:space="preserve">171409,3</w:t>
            </w:r>
          </w:p>
        </w:tc>
        <w:tc>
          <w:tcPr>
            <w:tcW w:w="1144" w:type="dxa"/>
            <w:vAlign w:val="center"/>
          </w:tcPr>
          <w:p>
            <w:pPr>
              <w:pStyle w:val="0"/>
              <w:jc w:val="both"/>
            </w:pPr>
            <w:r>
              <w:rPr>
                <w:sz w:val="20"/>
              </w:rPr>
              <w:t xml:space="preserve">30939,7</w:t>
            </w:r>
          </w:p>
        </w:tc>
        <w:tc>
          <w:tcPr>
            <w:tcW w:w="1144" w:type="dxa"/>
            <w:vAlign w:val="center"/>
          </w:tcPr>
          <w:p>
            <w:pPr>
              <w:pStyle w:val="0"/>
              <w:jc w:val="both"/>
            </w:pPr>
            <w:r>
              <w:rPr>
                <w:sz w:val="20"/>
              </w:rPr>
              <w:t xml:space="preserve">24768,8</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55708,5</w:t>
            </w:r>
          </w:p>
        </w:tc>
      </w:tr>
      <w:tr>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1909" w:type="dxa"/>
            <w:vAlign w:val="center"/>
          </w:tcPr>
          <w:p>
            <w:pPr>
              <w:pStyle w:val="0"/>
              <w:jc w:val="both"/>
            </w:pPr>
            <w:r>
              <w:rPr>
                <w:sz w:val="20"/>
              </w:rPr>
              <w:t xml:space="preserve">144323,9</w:t>
            </w:r>
          </w:p>
        </w:tc>
        <w:tc>
          <w:tcPr>
            <w:tcW w:w="1144" w:type="dxa"/>
            <w:vAlign w:val="center"/>
          </w:tcPr>
          <w:p>
            <w:pPr>
              <w:pStyle w:val="0"/>
              <w:jc w:val="both"/>
            </w:pPr>
            <w:r>
              <w:rPr>
                <w:sz w:val="20"/>
              </w:rPr>
              <w:t xml:space="preserve">9544,3</w:t>
            </w:r>
          </w:p>
        </w:tc>
        <w:tc>
          <w:tcPr>
            <w:tcW w:w="1144" w:type="dxa"/>
            <w:vAlign w:val="center"/>
          </w:tcPr>
          <w:p>
            <w:pPr>
              <w:pStyle w:val="0"/>
              <w:jc w:val="both"/>
            </w:pPr>
            <w:r>
              <w:rPr>
                <w:sz w:val="20"/>
              </w:rPr>
              <w:t xml:space="preserve">23719,9</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33264,2</w:t>
            </w:r>
          </w:p>
        </w:tc>
      </w:tr>
      <w:tr>
        <w:tc>
          <w:tcPr>
            <w:vMerge w:val="continue"/>
          </w:tcPr>
          <w:p/>
        </w:tc>
        <w:tc>
          <w:tcPr>
            <w:vMerge w:val="continue"/>
          </w:tcPr>
          <w:p/>
        </w:tc>
        <w:tc>
          <w:tcPr>
            <w:tcW w:w="2224" w:type="dxa"/>
            <w:vAlign w:val="center"/>
          </w:tcPr>
          <w:p>
            <w:pPr>
              <w:pStyle w:val="0"/>
            </w:pPr>
            <w:r>
              <w:rPr>
                <w:sz w:val="20"/>
              </w:rPr>
              <w:t xml:space="preserve">областной бюджет</w:t>
            </w:r>
          </w:p>
        </w:tc>
        <w:tc>
          <w:tcPr>
            <w:tcW w:w="1909" w:type="dxa"/>
            <w:vAlign w:val="center"/>
          </w:tcPr>
          <w:p>
            <w:pPr>
              <w:pStyle w:val="0"/>
              <w:jc w:val="both"/>
            </w:pPr>
            <w:r>
              <w:rPr>
                <w:sz w:val="20"/>
              </w:rPr>
              <w:t xml:space="preserve">6028,3</w:t>
            </w:r>
          </w:p>
        </w:tc>
        <w:tc>
          <w:tcPr>
            <w:tcW w:w="1144" w:type="dxa"/>
            <w:vAlign w:val="center"/>
          </w:tcPr>
          <w:p>
            <w:pPr>
              <w:pStyle w:val="0"/>
              <w:jc w:val="both"/>
            </w:pPr>
            <w:r>
              <w:rPr>
                <w:sz w:val="20"/>
              </w:rPr>
              <w:t xml:space="preserve">397,7</w:t>
            </w:r>
          </w:p>
        </w:tc>
        <w:tc>
          <w:tcPr>
            <w:tcW w:w="1144" w:type="dxa"/>
            <w:vAlign w:val="center"/>
          </w:tcPr>
          <w:p>
            <w:pPr>
              <w:pStyle w:val="0"/>
              <w:jc w:val="both"/>
            </w:pPr>
            <w:r>
              <w:rPr>
                <w:sz w:val="20"/>
              </w:rPr>
              <w:t xml:space="preserve">989,5</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1387,2</w:t>
            </w:r>
          </w:p>
        </w:tc>
      </w:tr>
      <w:tr>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1909" w:type="dxa"/>
            <w:vAlign w:val="center"/>
          </w:tcPr>
          <w:p>
            <w:pPr>
              <w:pStyle w:val="0"/>
              <w:jc w:val="both"/>
            </w:pPr>
            <w:r>
              <w:rPr>
                <w:sz w:val="20"/>
              </w:rPr>
              <w:t xml:space="preserve">59,4</w:t>
            </w:r>
          </w:p>
        </w:tc>
        <w:tc>
          <w:tcPr>
            <w:tcW w:w="1144" w:type="dxa"/>
            <w:vAlign w:val="center"/>
          </w:tcPr>
          <w:p>
            <w:pPr>
              <w:pStyle w:val="0"/>
              <w:jc w:val="both"/>
            </w:pPr>
            <w:r>
              <w:rPr>
                <w:sz w:val="20"/>
              </w:rPr>
            </w:r>
          </w:p>
        </w:tc>
        <w:tc>
          <w:tcPr>
            <w:tcW w:w="1144" w:type="dxa"/>
            <w:vAlign w:val="center"/>
          </w:tcPr>
          <w:p>
            <w:pPr>
              <w:pStyle w:val="0"/>
              <w:jc w:val="both"/>
            </w:pPr>
            <w:r>
              <w:rPr>
                <w:sz w:val="20"/>
              </w:rPr>
              <w:t xml:space="preserve">59,4</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59,4</w:t>
            </w:r>
          </w:p>
        </w:tc>
      </w:tr>
      <w:tr>
        <w:tc>
          <w:tcPr>
            <w:vMerge w:val="continue"/>
          </w:tcPr>
          <w:p/>
        </w:tc>
        <w:tc>
          <w:tcPr>
            <w:vMerge w:val="continue"/>
          </w:tcPr>
          <w:p/>
        </w:tc>
        <w:tc>
          <w:tcPr>
            <w:tcW w:w="2224" w:type="dxa"/>
            <w:vAlign w:val="center"/>
          </w:tcPr>
          <w:p>
            <w:pPr>
              <w:pStyle w:val="0"/>
            </w:pPr>
            <w:r>
              <w:rPr>
                <w:sz w:val="20"/>
              </w:rPr>
              <w:t xml:space="preserve">территориальные внебюджетные фонды</w:t>
            </w:r>
          </w:p>
        </w:tc>
        <w:tc>
          <w:tcPr>
            <w:tcW w:w="1909"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r>
          </w:p>
        </w:tc>
      </w:tr>
      <w:tr>
        <w:tc>
          <w:tcPr>
            <w:vMerge w:val="continue"/>
          </w:tcPr>
          <w:p/>
        </w:tc>
        <w:tc>
          <w:tcPr>
            <w:vMerge w:val="continue"/>
          </w:tcPr>
          <w:p/>
        </w:tc>
        <w:tc>
          <w:tcPr>
            <w:tcW w:w="2224" w:type="dxa"/>
            <w:vAlign w:val="center"/>
          </w:tcPr>
          <w:p>
            <w:pPr>
              <w:pStyle w:val="0"/>
            </w:pPr>
            <w:r>
              <w:rPr>
                <w:sz w:val="20"/>
              </w:rPr>
              <w:t xml:space="preserve">иные источники</w:t>
            </w:r>
          </w:p>
        </w:tc>
        <w:tc>
          <w:tcPr>
            <w:tcW w:w="1909" w:type="dxa"/>
            <w:vAlign w:val="center"/>
          </w:tcPr>
          <w:p>
            <w:pPr>
              <w:pStyle w:val="0"/>
              <w:jc w:val="both"/>
            </w:pPr>
            <w:r>
              <w:rPr>
                <w:sz w:val="20"/>
              </w:rPr>
              <w:t xml:space="preserve">20997,7</w:t>
            </w:r>
          </w:p>
        </w:tc>
        <w:tc>
          <w:tcPr>
            <w:tcW w:w="1144" w:type="dxa"/>
            <w:vAlign w:val="center"/>
          </w:tcPr>
          <w:p>
            <w:pPr>
              <w:pStyle w:val="0"/>
              <w:jc w:val="both"/>
            </w:pPr>
            <w:r>
              <w:rPr>
                <w:sz w:val="20"/>
              </w:rPr>
              <w:t xml:space="preserve">20997,7</w:t>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144" w:type="dxa"/>
            <w:vAlign w:val="center"/>
          </w:tcPr>
          <w:p>
            <w:pPr>
              <w:pStyle w:val="0"/>
              <w:jc w:val="both"/>
            </w:pPr>
            <w:r>
              <w:rPr>
                <w:sz w:val="20"/>
              </w:rPr>
            </w:r>
          </w:p>
        </w:tc>
        <w:tc>
          <w:tcPr>
            <w:tcW w:w="1024" w:type="dxa"/>
            <w:vAlign w:val="center"/>
          </w:tcPr>
          <w:p>
            <w:pPr>
              <w:pStyle w:val="0"/>
              <w:jc w:val="both"/>
            </w:pPr>
            <w:r>
              <w:rPr>
                <w:sz w:val="20"/>
              </w:rPr>
            </w:r>
          </w:p>
        </w:tc>
        <w:tc>
          <w:tcPr>
            <w:tcW w:w="1144" w:type="dxa"/>
            <w:vAlign w:val="center"/>
          </w:tcPr>
          <w:p>
            <w:pPr>
              <w:pStyle w:val="0"/>
              <w:jc w:val="both"/>
            </w:pPr>
            <w:r>
              <w:rPr>
                <w:sz w:val="20"/>
              </w:rPr>
              <w:t xml:space="preserve">20997,7</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bookmarkStart w:id="7853" w:name="P7853"/>
    <w:bookmarkEnd w:id="7853"/>
    <w:p>
      <w:pPr>
        <w:pStyle w:val="0"/>
        <w:outlineLvl w:val="1"/>
        <w:jc w:val="right"/>
      </w:pPr>
      <w:r>
        <w:rPr>
          <w:sz w:val="20"/>
        </w:rPr>
        <w:t xml:space="preserve">Приложение N 4</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22.03.2021 </w:t>
            </w:r>
            <w:hyperlink w:history="0" r:id="rId207"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25.10.2021 </w:t>
            </w:r>
            <w:hyperlink w:history="0" r:id="rId208"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 от 17.01.2022 </w:t>
            </w:r>
            <w:hyperlink w:history="0" r:id="rId209"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p>
            <w:pPr>
              <w:pStyle w:val="0"/>
              <w:jc w:val="center"/>
            </w:pPr>
            <w:r>
              <w:rPr>
                <w:sz w:val="20"/>
                <w:color w:val="392c69"/>
              </w:rPr>
              <w:t xml:space="preserve">от 06.02.2023 </w:t>
            </w:r>
            <w:hyperlink w:history="0" r:id="rId210"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44-пп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2"/>
        <w:jc w:val="center"/>
      </w:pPr>
      <w:r>
        <w:rPr>
          <w:sz w:val="20"/>
        </w:rPr>
        <w:t xml:space="preserve">Ресурсное обеспечение реализации государственной программы</w:t>
      </w:r>
    </w:p>
    <w:p>
      <w:pPr>
        <w:pStyle w:val="2"/>
        <w:jc w:val="center"/>
      </w:pPr>
      <w:r>
        <w:rPr>
          <w:sz w:val="20"/>
        </w:rPr>
        <w:t xml:space="preserve">Белгородской области "Развитие водного и лесного хозяйства</w:t>
      </w:r>
    </w:p>
    <w:p>
      <w:pPr>
        <w:pStyle w:val="2"/>
        <w:jc w:val="center"/>
      </w:pPr>
      <w:r>
        <w:rPr>
          <w:sz w:val="20"/>
        </w:rPr>
        <w:t xml:space="preserve">Белгородской области, охрана окружающей среды" за счет</w:t>
      </w:r>
    </w:p>
    <w:p>
      <w:pPr>
        <w:pStyle w:val="2"/>
        <w:jc w:val="center"/>
      </w:pPr>
      <w:r>
        <w:rPr>
          <w:sz w:val="20"/>
        </w:rPr>
        <w:t xml:space="preserve">средств бюджета Белгородской области на 1 этапе реализации</w:t>
      </w:r>
    </w:p>
    <w:p>
      <w:pPr>
        <w:pStyle w:val="0"/>
        <w:jc w:val="right"/>
      </w:pPr>
      <w:r>
        <w:rPr>
          <w:sz w:val="20"/>
        </w:rPr>
      </w:r>
    </w:p>
    <w:p>
      <w:pPr>
        <w:pStyle w:val="0"/>
        <w:jc w:val="right"/>
      </w:pPr>
      <w:r>
        <w:rPr>
          <w:sz w:val="20"/>
        </w:rPr>
        <w:t xml:space="preserve">Таблица 1</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314"/>
        <w:gridCol w:w="2839"/>
        <w:gridCol w:w="694"/>
        <w:gridCol w:w="604"/>
        <w:gridCol w:w="1134"/>
        <w:gridCol w:w="604"/>
        <w:gridCol w:w="844"/>
        <w:gridCol w:w="844"/>
        <w:gridCol w:w="1024"/>
        <w:gridCol w:w="844"/>
        <w:gridCol w:w="844"/>
        <w:gridCol w:w="1024"/>
        <w:gridCol w:w="1024"/>
        <w:gridCol w:w="1144"/>
      </w:tblGrid>
      <w:tr>
        <w:tc>
          <w:tcPr>
            <w:tcW w:w="1849" w:type="dxa"/>
            <w:vMerge w:val="restart"/>
          </w:tcPr>
          <w:p>
            <w:pPr>
              <w:pStyle w:val="0"/>
              <w:jc w:val="center"/>
            </w:pPr>
            <w:r>
              <w:rPr>
                <w:sz w:val="20"/>
              </w:rPr>
              <w:t xml:space="preserve">Статус</w:t>
            </w:r>
          </w:p>
        </w:tc>
        <w:tc>
          <w:tcPr>
            <w:tcW w:w="2314"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839" w:type="dxa"/>
            <w:vMerge w:val="restart"/>
          </w:tcPr>
          <w:p>
            <w:pPr>
              <w:pStyle w:val="0"/>
              <w:jc w:val="center"/>
            </w:pPr>
            <w:r>
              <w:rPr>
                <w:sz w:val="20"/>
              </w:rPr>
              <w:t xml:space="preserve">Ответственный исполнитель, соисполнители, участники</w:t>
            </w:r>
          </w:p>
        </w:tc>
        <w:tc>
          <w:tcPr>
            <w:gridSpan w:val="4"/>
            <w:tcW w:w="3036" w:type="dxa"/>
          </w:tcPr>
          <w:p>
            <w:pPr>
              <w:pStyle w:val="0"/>
              <w:jc w:val="center"/>
            </w:pPr>
            <w:r>
              <w:rPr>
                <w:sz w:val="20"/>
              </w:rPr>
              <w:t xml:space="preserve">Код бюджетной классификации</w:t>
            </w:r>
          </w:p>
        </w:tc>
        <w:tc>
          <w:tcPr>
            <w:gridSpan w:val="7"/>
            <w:tcW w:w="6448" w:type="dxa"/>
          </w:tcPr>
          <w:p>
            <w:pPr>
              <w:pStyle w:val="0"/>
              <w:jc w:val="center"/>
            </w:pPr>
            <w:r>
              <w:rPr>
                <w:sz w:val="20"/>
              </w:rPr>
              <w:t xml:space="preserve">Расходы (тыс. рублей), годы</w:t>
            </w:r>
          </w:p>
        </w:tc>
        <w:tc>
          <w:tcPr>
            <w:tcW w:w="1144" w:type="dxa"/>
            <w:vMerge w:val="restart"/>
          </w:tcPr>
          <w:p>
            <w:pPr>
              <w:pStyle w:val="0"/>
              <w:jc w:val="center"/>
            </w:pPr>
            <w:r>
              <w:rPr>
                <w:sz w:val="20"/>
              </w:rPr>
              <w:t xml:space="preserve">Итого на 1 этапе (2014 - 2020)</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04" w:type="dxa"/>
          </w:tcPr>
          <w:p>
            <w:pPr>
              <w:pStyle w:val="0"/>
              <w:jc w:val="center"/>
            </w:pPr>
            <w:r>
              <w:rPr>
                <w:sz w:val="20"/>
              </w:rPr>
              <w:t xml:space="preserve">Пр</w:t>
            </w:r>
          </w:p>
        </w:tc>
        <w:tc>
          <w:tcPr>
            <w:tcW w:w="1134" w:type="dxa"/>
          </w:tcPr>
          <w:p>
            <w:pPr>
              <w:pStyle w:val="0"/>
              <w:jc w:val="center"/>
            </w:pPr>
            <w:r>
              <w:rPr>
                <w:sz w:val="20"/>
              </w:rPr>
              <w:t xml:space="preserve">ЦСР</w:t>
            </w:r>
          </w:p>
        </w:tc>
        <w:tc>
          <w:tcPr>
            <w:tcW w:w="604" w:type="dxa"/>
          </w:tcPr>
          <w:p>
            <w:pPr>
              <w:pStyle w:val="0"/>
              <w:jc w:val="center"/>
            </w:pPr>
            <w:r>
              <w:rPr>
                <w:sz w:val="20"/>
              </w:rPr>
              <w:t xml:space="preserve">ВР</w:t>
            </w:r>
          </w:p>
        </w:tc>
        <w:tc>
          <w:tcPr>
            <w:tcW w:w="844" w:type="dxa"/>
          </w:tcPr>
          <w:p>
            <w:pPr>
              <w:pStyle w:val="0"/>
              <w:jc w:val="center"/>
            </w:pPr>
            <w:r>
              <w:rPr>
                <w:sz w:val="20"/>
              </w:rPr>
              <w:t xml:space="preserve">2014 год</w:t>
            </w:r>
          </w:p>
        </w:tc>
        <w:tc>
          <w:tcPr>
            <w:tcW w:w="844" w:type="dxa"/>
          </w:tcPr>
          <w:p>
            <w:pPr>
              <w:pStyle w:val="0"/>
              <w:jc w:val="center"/>
            </w:pPr>
            <w:r>
              <w:rPr>
                <w:sz w:val="20"/>
              </w:rPr>
              <w:t xml:space="preserve">2015 год</w:t>
            </w:r>
          </w:p>
        </w:tc>
        <w:tc>
          <w:tcPr>
            <w:tcW w:w="1024" w:type="dxa"/>
          </w:tcPr>
          <w:p>
            <w:pPr>
              <w:pStyle w:val="0"/>
              <w:jc w:val="center"/>
            </w:pPr>
            <w:r>
              <w:rPr>
                <w:sz w:val="20"/>
              </w:rPr>
              <w:t xml:space="preserve">2016 год</w:t>
            </w:r>
          </w:p>
        </w:tc>
        <w:tc>
          <w:tcPr>
            <w:tcW w:w="844" w:type="dxa"/>
          </w:tcPr>
          <w:p>
            <w:pPr>
              <w:pStyle w:val="0"/>
              <w:jc w:val="center"/>
            </w:pPr>
            <w:r>
              <w:rPr>
                <w:sz w:val="20"/>
              </w:rPr>
              <w:t xml:space="preserve">2017 год</w:t>
            </w:r>
          </w:p>
        </w:tc>
        <w:tc>
          <w:tcPr>
            <w:tcW w:w="844" w:type="dxa"/>
          </w:tcPr>
          <w:p>
            <w:pPr>
              <w:pStyle w:val="0"/>
              <w:jc w:val="center"/>
            </w:pPr>
            <w:r>
              <w:rPr>
                <w:sz w:val="20"/>
              </w:rPr>
              <w:t xml:space="preserve">2018 год</w:t>
            </w:r>
          </w:p>
        </w:tc>
        <w:tc>
          <w:tcPr>
            <w:tcW w:w="1024" w:type="dxa"/>
          </w:tcPr>
          <w:p>
            <w:pPr>
              <w:pStyle w:val="0"/>
              <w:jc w:val="center"/>
            </w:pPr>
            <w:r>
              <w:rPr>
                <w:sz w:val="20"/>
              </w:rPr>
              <w:t xml:space="preserve">2019 год</w:t>
            </w:r>
          </w:p>
        </w:tc>
        <w:tc>
          <w:tcPr>
            <w:tcW w:w="1024" w:type="dxa"/>
          </w:tcPr>
          <w:p>
            <w:pPr>
              <w:pStyle w:val="0"/>
              <w:jc w:val="center"/>
            </w:pPr>
            <w:r>
              <w:rPr>
                <w:sz w:val="20"/>
              </w:rPr>
              <w:t xml:space="preserve">2020 год</w:t>
            </w:r>
          </w:p>
        </w:tc>
        <w:tc>
          <w:tcPr>
            <w:vMerge w:val="continue"/>
          </w:tcPr>
          <w:p/>
        </w:tc>
      </w:tr>
      <w:tr>
        <w:tc>
          <w:tcPr>
            <w:tcW w:w="1849" w:type="dxa"/>
          </w:tcPr>
          <w:p>
            <w:pPr>
              <w:pStyle w:val="0"/>
              <w:jc w:val="center"/>
            </w:pPr>
            <w:r>
              <w:rPr>
                <w:sz w:val="20"/>
              </w:rPr>
              <w:t xml:space="preserve">1</w:t>
            </w:r>
          </w:p>
        </w:tc>
        <w:tc>
          <w:tcPr>
            <w:tcW w:w="2314" w:type="dxa"/>
          </w:tcPr>
          <w:p>
            <w:pPr>
              <w:pStyle w:val="0"/>
              <w:jc w:val="center"/>
            </w:pPr>
            <w:r>
              <w:rPr>
                <w:sz w:val="20"/>
              </w:rPr>
              <w:t xml:space="preserve">2</w:t>
            </w:r>
          </w:p>
        </w:tc>
        <w:tc>
          <w:tcPr>
            <w:tcW w:w="2839" w:type="dxa"/>
          </w:tcPr>
          <w:p>
            <w:pPr>
              <w:pStyle w:val="0"/>
              <w:jc w:val="center"/>
            </w:pPr>
            <w:r>
              <w:rPr>
                <w:sz w:val="20"/>
              </w:rPr>
              <w:t xml:space="preserve">3</w:t>
            </w:r>
          </w:p>
        </w:tc>
        <w:tc>
          <w:tcPr>
            <w:tcW w:w="694" w:type="dxa"/>
          </w:tcPr>
          <w:p>
            <w:pPr>
              <w:pStyle w:val="0"/>
              <w:jc w:val="center"/>
            </w:pPr>
            <w:r>
              <w:rPr>
                <w:sz w:val="20"/>
              </w:rPr>
              <w:t xml:space="preserve">4</w:t>
            </w:r>
          </w:p>
        </w:tc>
        <w:tc>
          <w:tcPr>
            <w:tcW w:w="604" w:type="dxa"/>
          </w:tcPr>
          <w:p>
            <w:pPr>
              <w:pStyle w:val="0"/>
              <w:jc w:val="center"/>
            </w:pPr>
            <w:r>
              <w:rPr>
                <w:sz w:val="20"/>
              </w:rPr>
              <w:t xml:space="preserve">5</w:t>
            </w:r>
          </w:p>
        </w:tc>
        <w:tc>
          <w:tcPr>
            <w:tcW w:w="1134" w:type="dxa"/>
          </w:tcPr>
          <w:p>
            <w:pPr>
              <w:pStyle w:val="0"/>
              <w:jc w:val="center"/>
            </w:pPr>
            <w:r>
              <w:rPr>
                <w:sz w:val="20"/>
              </w:rPr>
              <w:t xml:space="preserve">6</w:t>
            </w:r>
          </w:p>
        </w:tc>
        <w:tc>
          <w:tcPr>
            <w:tcW w:w="604" w:type="dxa"/>
          </w:tcPr>
          <w:p>
            <w:pPr>
              <w:pStyle w:val="0"/>
              <w:jc w:val="center"/>
            </w:pPr>
            <w:r>
              <w:rPr>
                <w:sz w:val="20"/>
              </w:rPr>
              <w:t xml:space="preserve">7</w:t>
            </w:r>
          </w:p>
        </w:tc>
        <w:tc>
          <w:tcPr>
            <w:tcW w:w="844" w:type="dxa"/>
          </w:tcPr>
          <w:p>
            <w:pPr>
              <w:pStyle w:val="0"/>
              <w:jc w:val="center"/>
            </w:pPr>
            <w:r>
              <w:rPr>
                <w:sz w:val="20"/>
              </w:rPr>
              <w:t xml:space="preserve">8</w:t>
            </w:r>
          </w:p>
        </w:tc>
        <w:tc>
          <w:tcPr>
            <w:tcW w:w="844" w:type="dxa"/>
          </w:tcPr>
          <w:p>
            <w:pPr>
              <w:pStyle w:val="0"/>
              <w:jc w:val="center"/>
            </w:pPr>
            <w:r>
              <w:rPr>
                <w:sz w:val="20"/>
              </w:rPr>
              <w:t xml:space="preserve">9</w:t>
            </w:r>
          </w:p>
        </w:tc>
        <w:tc>
          <w:tcPr>
            <w:tcW w:w="1024" w:type="dxa"/>
          </w:tcPr>
          <w:p>
            <w:pPr>
              <w:pStyle w:val="0"/>
              <w:jc w:val="center"/>
            </w:pPr>
            <w:r>
              <w:rPr>
                <w:sz w:val="20"/>
              </w:rPr>
              <w:t xml:space="preserve">10</w:t>
            </w:r>
          </w:p>
        </w:tc>
        <w:tc>
          <w:tcPr>
            <w:tcW w:w="844" w:type="dxa"/>
          </w:tcPr>
          <w:p>
            <w:pPr>
              <w:pStyle w:val="0"/>
              <w:jc w:val="center"/>
            </w:pPr>
            <w:r>
              <w:rPr>
                <w:sz w:val="20"/>
              </w:rPr>
              <w:t xml:space="preserve">11</w:t>
            </w:r>
          </w:p>
        </w:tc>
        <w:tc>
          <w:tcPr>
            <w:tcW w:w="844" w:type="dxa"/>
          </w:tcPr>
          <w:p>
            <w:pPr>
              <w:pStyle w:val="0"/>
              <w:jc w:val="center"/>
            </w:pPr>
            <w:r>
              <w:rPr>
                <w:sz w:val="20"/>
              </w:rPr>
              <w:t xml:space="preserve">12</w:t>
            </w:r>
          </w:p>
        </w:tc>
        <w:tc>
          <w:tcPr>
            <w:tcW w:w="1024" w:type="dxa"/>
          </w:tcPr>
          <w:p>
            <w:pPr>
              <w:pStyle w:val="0"/>
              <w:jc w:val="center"/>
            </w:pPr>
            <w:r>
              <w:rPr>
                <w:sz w:val="20"/>
              </w:rPr>
              <w:t xml:space="preserve">13</w:t>
            </w:r>
          </w:p>
        </w:tc>
        <w:tc>
          <w:tcPr>
            <w:tcW w:w="1024" w:type="dxa"/>
          </w:tcPr>
          <w:p>
            <w:pPr>
              <w:pStyle w:val="0"/>
              <w:jc w:val="center"/>
            </w:pPr>
            <w:r>
              <w:rPr>
                <w:sz w:val="20"/>
              </w:rPr>
              <w:t xml:space="preserve">14</w:t>
            </w:r>
          </w:p>
        </w:tc>
        <w:tc>
          <w:tcPr>
            <w:tcW w:w="1144" w:type="dxa"/>
          </w:tcPr>
          <w:p>
            <w:pPr>
              <w:pStyle w:val="0"/>
              <w:jc w:val="center"/>
            </w:pPr>
            <w:r>
              <w:rPr>
                <w:sz w:val="20"/>
              </w:rPr>
              <w:t xml:space="preserve">15</w:t>
            </w:r>
          </w:p>
        </w:tc>
      </w:tr>
      <w:tr>
        <w:tc>
          <w:tcPr>
            <w:tcW w:w="1849" w:type="dxa"/>
            <w:vAlign w:val="center"/>
            <w:vMerge w:val="restart"/>
          </w:tcPr>
          <w:p>
            <w:pPr>
              <w:pStyle w:val="0"/>
              <w:jc w:val="center"/>
            </w:pPr>
            <w:r>
              <w:rPr>
                <w:sz w:val="20"/>
              </w:rPr>
              <w:t xml:space="preserve">Государственная программа Белгородской области</w:t>
            </w:r>
          </w:p>
        </w:tc>
        <w:tc>
          <w:tcPr>
            <w:tcW w:w="2314" w:type="dxa"/>
            <w:vAlign w:val="center"/>
            <w:vMerge w:val="restart"/>
          </w:tcPr>
          <w:p>
            <w:pPr>
              <w:pStyle w:val="0"/>
              <w:jc w:val="center"/>
            </w:pPr>
            <w:r>
              <w:rPr>
                <w:sz w:val="20"/>
              </w:rPr>
              <w:t xml:space="preserve">Развитие водного и лесного хозяйства Белгородской области, охрана окружающей среды</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255470</w:t>
            </w:r>
          </w:p>
        </w:tc>
        <w:tc>
          <w:tcPr>
            <w:tcW w:w="844" w:type="dxa"/>
            <w:vAlign w:val="center"/>
          </w:tcPr>
          <w:p>
            <w:pPr>
              <w:pStyle w:val="0"/>
              <w:jc w:val="center"/>
            </w:pPr>
            <w:r>
              <w:rPr>
                <w:sz w:val="20"/>
              </w:rPr>
              <w:t xml:space="preserve">228279</w:t>
            </w:r>
          </w:p>
        </w:tc>
        <w:tc>
          <w:tcPr>
            <w:tcW w:w="1024" w:type="dxa"/>
            <w:vAlign w:val="center"/>
          </w:tcPr>
          <w:p>
            <w:pPr>
              <w:pStyle w:val="0"/>
              <w:jc w:val="center"/>
            </w:pPr>
            <w:r>
              <w:rPr>
                <w:sz w:val="20"/>
              </w:rPr>
              <w:t xml:space="preserve">229683,0</w:t>
            </w:r>
          </w:p>
        </w:tc>
        <w:tc>
          <w:tcPr>
            <w:tcW w:w="844" w:type="dxa"/>
            <w:vAlign w:val="center"/>
          </w:tcPr>
          <w:p>
            <w:pPr>
              <w:pStyle w:val="0"/>
              <w:jc w:val="center"/>
            </w:pPr>
            <w:r>
              <w:rPr>
                <w:sz w:val="20"/>
              </w:rPr>
              <w:t xml:space="preserve">227913</w:t>
            </w:r>
          </w:p>
        </w:tc>
        <w:tc>
          <w:tcPr>
            <w:tcW w:w="844" w:type="dxa"/>
            <w:vAlign w:val="center"/>
          </w:tcPr>
          <w:p>
            <w:pPr>
              <w:pStyle w:val="0"/>
              <w:jc w:val="center"/>
            </w:pPr>
            <w:r>
              <w:rPr>
                <w:sz w:val="20"/>
              </w:rPr>
              <w:t xml:space="preserve">293595</w:t>
            </w:r>
          </w:p>
        </w:tc>
        <w:tc>
          <w:tcPr>
            <w:tcW w:w="1024" w:type="dxa"/>
            <w:vAlign w:val="center"/>
          </w:tcPr>
          <w:p>
            <w:pPr>
              <w:pStyle w:val="0"/>
              <w:jc w:val="center"/>
            </w:pPr>
            <w:r>
              <w:rPr>
                <w:sz w:val="20"/>
              </w:rPr>
              <w:t xml:space="preserve">307473,5</w:t>
            </w:r>
          </w:p>
        </w:tc>
        <w:tc>
          <w:tcPr>
            <w:tcW w:w="1024" w:type="dxa"/>
            <w:vAlign w:val="center"/>
          </w:tcPr>
          <w:p>
            <w:pPr>
              <w:pStyle w:val="0"/>
              <w:jc w:val="center"/>
            </w:pPr>
            <w:r>
              <w:rPr>
                <w:sz w:val="20"/>
              </w:rPr>
              <w:t xml:space="preserve">659007,2</w:t>
            </w:r>
          </w:p>
        </w:tc>
        <w:tc>
          <w:tcPr>
            <w:tcW w:w="1144" w:type="dxa"/>
            <w:vAlign w:val="center"/>
          </w:tcPr>
          <w:p>
            <w:pPr>
              <w:pStyle w:val="0"/>
              <w:jc w:val="center"/>
            </w:pPr>
            <w:r>
              <w:rPr>
                <w:sz w:val="20"/>
              </w:rPr>
              <w:t xml:space="preserve">2201420,7</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3833,0</w:t>
            </w:r>
          </w:p>
        </w:tc>
        <w:tc>
          <w:tcPr>
            <w:tcW w:w="844" w:type="dxa"/>
            <w:vAlign w:val="center"/>
          </w:tcPr>
          <w:p>
            <w:pPr>
              <w:pStyle w:val="0"/>
              <w:jc w:val="center"/>
            </w:pPr>
            <w:r>
              <w:rPr>
                <w:sz w:val="20"/>
              </w:rPr>
              <w:t xml:space="preserve">3392</w:t>
            </w:r>
          </w:p>
        </w:tc>
        <w:tc>
          <w:tcPr>
            <w:tcW w:w="844" w:type="dxa"/>
            <w:vAlign w:val="center"/>
          </w:tcPr>
          <w:p>
            <w:pPr>
              <w:pStyle w:val="0"/>
              <w:jc w:val="center"/>
            </w:pPr>
            <w:r>
              <w:rPr>
                <w:sz w:val="20"/>
              </w:rPr>
              <w:t xml:space="preserve">6802</w:t>
            </w:r>
          </w:p>
        </w:tc>
        <w:tc>
          <w:tcPr>
            <w:tcW w:w="1024" w:type="dxa"/>
            <w:vAlign w:val="center"/>
          </w:tcPr>
          <w:p>
            <w:pPr>
              <w:pStyle w:val="0"/>
              <w:jc w:val="center"/>
            </w:pPr>
            <w:r>
              <w:rPr>
                <w:sz w:val="20"/>
              </w:rPr>
              <w:t xml:space="preserve">9179,6</w:t>
            </w:r>
          </w:p>
        </w:tc>
        <w:tc>
          <w:tcPr>
            <w:tcW w:w="1024" w:type="dxa"/>
            <w:vAlign w:val="center"/>
          </w:tcPr>
          <w:p>
            <w:pPr>
              <w:pStyle w:val="0"/>
              <w:jc w:val="center"/>
            </w:pPr>
            <w:r>
              <w:rPr>
                <w:sz w:val="20"/>
              </w:rPr>
              <w:t xml:space="preserve">29144,9</w:t>
            </w:r>
          </w:p>
        </w:tc>
        <w:tc>
          <w:tcPr>
            <w:tcW w:w="1144" w:type="dxa"/>
            <w:vAlign w:val="center"/>
          </w:tcPr>
          <w:p>
            <w:pPr>
              <w:pStyle w:val="0"/>
              <w:jc w:val="center"/>
            </w:pPr>
            <w:r>
              <w:rPr>
                <w:sz w:val="20"/>
              </w:rPr>
              <w:t xml:space="preserve">52351,5</w:t>
            </w:r>
          </w:p>
        </w:tc>
      </w:tr>
      <w:tr>
        <w:tc>
          <w:tcPr>
            <w:vMerge w:val="continue"/>
          </w:tcPr>
          <w:p/>
        </w:tc>
        <w:tc>
          <w:tcPr>
            <w:vMerge w:val="continue"/>
          </w:tcP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144930</w:t>
            </w:r>
          </w:p>
        </w:tc>
        <w:tc>
          <w:tcPr>
            <w:tcW w:w="844" w:type="dxa"/>
            <w:vAlign w:val="center"/>
          </w:tcPr>
          <w:p>
            <w:pPr>
              <w:pStyle w:val="0"/>
              <w:jc w:val="center"/>
            </w:pPr>
            <w:r>
              <w:rPr>
                <w:sz w:val="20"/>
              </w:rPr>
              <w:t xml:space="preserve">134056</w:t>
            </w:r>
          </w:p>
        </w:tc>
        <w:tc>
          <w:tcPr>
            <w:tcW w:w="1024" w:type="dxa"/>
            <w:vAlign w:val="center"/>
          </w:tcPr>
          <w:p>
            <w:pPr>
              <w:pStyle w:val="0"/>
              <w:jc w:val="center"/>
            </w:pPr>
            <w:r>
              <w:rPr>
                <w:sz w:val="20"/>
              </w:rPr>
              <w:t xml:space="preserve">156506,0</w:t>
            </w:r>
          </w:p>
        </w:tc>
        <w:tc>
          <w:tcPr>
            <w:tcW w:w="844" w:type="dxa"/>
            <w:vAlign w:val="center"/>
          </w:tcPr>
          <w:p>
            <w:pPr>
              <w:pStyle w:val="0"/>
              <w:jc w:val="center"/>
            </w:pPr>
            <w:r>
              <w:rPr>
                <w:sz w:val="20"/>
              </w:rPr>
              <w:t xml:space="preserve">144304</w:t>
            </w:r>
          </w:p>
        </w:tc>
        <w:tc>
          <w:tcPr>
            <w:tcW w:w="844" w:type="dxa"/>
            <w:vAlign w:val="center"/>
          </w:tcPr>
          <w:p>
            <w:pPr>
              <w:pStyle w:val="0"/>
              <w:jc w:val="center"/>
            </w:pPr>
            <w:r>
              <w:rPr>
                <w:sz w:val="20"/>
              </w:rPr>
              <w:t xml:space="preserve">169529</w:t>
            </w:r>
          </w:p>
        </w:tc>
        <w:tc>
          <w:tcPr>
            <w:tcW w:w="1024" w:type="dxa"/>
            <w:vAlign w:val="center"/>
          </w:tcPr>
          <w:p>
            <w:pPr>
              <w:pStyle w:val="0"/>
              <w:jc w:val="center"/>
            </w:pPr>
            <w:r>
              <w:rPr>
                <w:sz w:val="20"/>
              </w:rPr>
              <w:t xml:space="preserve">159610,1</w:t>
            </w:r>
          </w:p>
        </w:tc>
        <w:tc>
          <w:tcPr>
            <w:tcW w:w="1024" w:type="dxa"/>
            <w:vAlign w:val="center"/>
          </w:tcPr>
          <w:p>
            <w:pPr>
              <w:pStyle w:val="0"/>
              <w:jc w:val="center"/>
            </w:pPr>
            <w:r>
              <w:rPr>
                <w:sz w:val="20"/>
              </w:rPr>
              <w:t xml:space="preserve">343080,4</w:t>
            </w:r>
          </w:p>
        </w:tc>
        <w:tc>
          <w:tcPr>
            <w:tcW w:w="1144" w:type="dxa"/>
            <w:vAlign w:val="center"/>
          </w:tcPr>
          <w:p>
            <w:pPr>
              <w:pStyle w:val="0"/>
              <w:jc w:val="center"/>
            </w:pPr>
            <w:r>
              <w:rPr>
                <w:sz w:val="20"/>
              </w:rPr>
              <w:t xml:space="preserve">1252015,5</w:t>
            </w:r>
          </w:p>
        </w:tc>
      </w:tr>
      <w:tr>
        <w:tc>
          <w:tcPr>
            <w:vMerge w:val="continue"/>
          </w:tcPr>
          <w:p/>
        </w:tc>
        <w:tc>
          <w:tcPr>
            <w:vMerge w:val="continue"/>
          </w:tcP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26320</w:t>
            </w:r>
          </w:p>
        </w:tc>
        <w:tc>
          <w:tcPr>
            <w:tcW w:w="844" w:type="dxa"/>
            <w:vAlign w:val="center"/>
          </w:tcPr>
          <w:p>
            <w:pPr>
              <w:pStyle w:val="0"/>
              <w:jc w:val="center"/>
            </w:pPr>
            <w:r>
              <w:rPr>
                <w:sz w:val="20"/>
              </w:rPr>
              <w:t xml:space="preserve">21991</w:t>
            </w:r>
          </w:p>
        </w:tc>
        <w:tc>
          <w:tcPr>
            <w:tcW w:w="1024" w:type="dxa"/>
            <w:vAlign w:val="center"/>
          </w:tcPr>
          <w:p>
            <w:pPr>
              <w:pStyle w:val="0"/>
              <w:jc w:val="center"/>
            </w:pPr>
            <w:r>
              <w:rPr>
                <w:sz w:val="20"/>
              </w:rPr>
              <w:t xml:space="preserve">62764,0</w:t>
            </w:r>
          </w:p>
        </w:tc>
        <w:tc>
          <w:tcPr>
            <w:tcW w:w="844" w:type="dxa"/>
            <w:vAlign w:val="center"/>
          </w:tcPr>
          <w:p>
            <w:pPr>
              <w:pStyle w:val="0"/>
              <w:jc w:val="center"/>
            </w:pPr>
            <w:r>
              <w:rPr>
                <w:sz w:val="20"/>
              </w:rPr>
              <w:t xml:space="preserve">80217</w:t>
            </w:r>
          </w:p>
        </w:tc>
        <w:tc>
          <w:tcPr>
            <w:tcW w:w="844" w:type="dxa"/>
            <w:vAlign w:val="center"/>
          </w:tcPr>
          <w:p>
            <w:pPr>
              <w:pStyle w:val="0"/>
              <w:jc w:val="center"/>
            </w:pPr>
            <w:r>
              <w:rPr>
                <w:sz w:val="20"/>
              </w:rPr>
              <w:t xml:space="preserve">88743</w:t>
            </w:r>
          </w:p>
        </w:tc>
        <w:tc>
          <w:tcPr>
            <w:tcW w:w="1024" w:type="dxa"/>
            <w:vAlign w:val="center"/>
          </w:tcPr>
          <w:p>
            <w:pPr>
              <w:pStyle w:val="0"/>
              <w:jc w:val="center"/>
            </w:pPr>
            <w:r>
              <w:rPr>
                <w:sz w:val="20"/>
              </w:rPr>
              <w:t xml:space="preserve">95080,8</w:t>
            </w:r>
          </w:p>
        </w:tc>
        <w:tc>
          <w:tcPr>
            <w:tcW w:w="1024" w:type="dxa"/>
            <w:vAlign w:val="center"/>
          </w:tcPr>
          <w:p>
            <w:pPr>
              <w:pStyle w:val="0"/>
              <w:jc w:val="center"/>
            </w:pPr>
            <w:r>
              <w:rPr>
                <w:sz w:val="20"/>
              </w:rPr>
              <w:t xml:space="preserve">111995,8</w:t>
            </w:r>
          </w:p>
        </w:tc>
        <w:tc>
          <w:tcPr>
            <w:tcW w:w="1144" w:type="dxa"/>
            <w:vAlign w:val="center"/>
          </w:tcPr>
          <w:p>
            <w:pPr>
              <w:pStyle w:val="0"/>
              <w:jc w:val="center"/>
            </w:pPr>
            <w:r>
              <w:rPr>
                <w:sz w:val="20"/>
              </w:rPr>
              <w:t xml:space="preserve">487111,6</w:t>
            </w:r>
          </w:p>
        </w:tc>
      </w:tr>
      <w:tr>
        <w:tc>
          <w:tcPr>
            <w:vMerge w:val="continue"/>
          </w:tcPr>
          <w:p/>
        </w:tc>
        <w:tc>
          <w:tcPr>
            <w:vMerge w:val="continue"/>
          </w:tcP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84220</w:t>
            </w:r>
          </w:p>
        </w:tc>
        <w:tc>
          <w:tcPr>
            <w:tcW w:w="844" w:type="dxa"/>
            <w:vAlign w:val="center"/>
          </w:tcPr>
          <w:p>
            <w:pPr>
              <w:pStyle w:val="0"/>
              <w:jc w:val="center"/>
            </w:pPr>
            <w:r>
              <w:rPr>
                <w:sz w:val="20"/>
              </w:rPr>
              <w:t xml:space="preserve">29625</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113845,0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42607</w:t>
            </w:r>
          </w:p>
        </w:tc>
        <w:tc>
          <w:tcPr>
            <w:tcW w:w="1024" w:type="dxa"/>
            <w:vAlign w:val="center"/>
          </w:tcPr>
          <w:p>
            <w:pPr>
              <w:pStyle w:val="0"/>
              <w:jc w:val="center"/>
            </w:pPr>
            <w:r>
              <w:rPr>
                <w:sz w:val="20"/>
              </w:rPr>
              <w:t xml:space="preserve">6580,0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49187,0</w:t>
            </w:r>
          </w:p>
        </w:tc>
      </w:tr>
      <w:tr>
        <w:tc>
          <w:tcPr>
            <w:vMerge w:val="continue"/>
          </w:tcPr>
          <w:p/>
        </w:tc>
        <w:tc>
          <w:tcPr>
            <w:vMerge w:val="continue"/>
          </w:tcP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22121</w:t>
            </w:r>
          </w:p>
        </w:tc>
        <w:tc>
          <w:tcPr>
            <w:tcW w:w="1024" w:type="dxa"/>
            <w:vAlign w:val="center"/>
          </w:tcPr>
          <w:p>
            <w:pPr>
              <w:pStyle w:val="0"/>
              <w:jc w:val="center"/>
            </w:pPr>
            <w:r>
              <w:rPr>
                <w:sz w:val="20"/>
              </w:rPr>
              <w:t xml:space="preserve">33603,0</w:t>
            </w:r>
          </w:p>
        </w:tc>
        <w:tc>
          <w:tcPr>
            <w:tcW w:w="1024" w:type="dxa"/>
            <w:vAlign w:val="center"/>
          </w:tcPr>
          <w:p>
            <w:pPr>
              <w:pStyle w:val="0"/>
              <w:jc w:val="center"/>
            </w:pPr>
            <w:r>
              <w:rPr>
                <w:sz w:val="20"/>
              </w:rPr>
              <w:t xml:space="preserve">174786,1</w:t>
            </w:r>
          </w:p>
        </w:tc>
        <w:tc>
          <w:tcPr>
            <w:tcW w:w="1144" w:type="dxa"/>
            <w:vAlign w:val="center"/>
          </w:tcPr>
          <w:p>
            <w:pPr>
              <w:pStyle w:val="0"/>
              <w:jc w:val="center"/>
            </w:pPr>
            <w:r>
              <w:rPr>
                <w:sz w:val="20"/>
              </w:rPr>
              <w:t xml:space="preserve">230510,1</w:t>
            </w:r>
          </w:p>
        </w:tc>
      </w:tr>
      <w:tr>
        <w:tc>
          <w:tcPr>
            <w:vMerge w:val="continue"/>
          </w:tcPr>
          <w:p/>
        </w:tc>
        <w:tc>
          <w:tcPr>
            <w:vMerge w:val="continue"/>
          </w:tcPr>
          <w:p/>
        </w:tc>
        <w:tc>
          <w:tcPr>
            <w:tcW w:w="2839" w:type="dxa"/>
            <w:vAlign w:val="center"/>
          </w:tcPr>
          <w:p>
            <w:pPr>
              <w:pStyle w:val="0"/>
              <w:jc w:val="center"/>
            </w:pPr>
            <w:r>
              <w:rPr>
                <w:sz w:val="20"/>
              </w:rPr>
              <w:t xml:space="preserve">Департамент строительства и транспорта Белгородской области</w:t>
            </w:r>
          </w:p>
        </w:tc>
        <w:tc>
          <w:tcPr>
            <w:tcW w:w="694" w:type="dxa"/>
            <w:vAlign w:val="center"/>
          </w:tcPr>
          <w:p>
            <w:pPr>
              <w:pStyle w:val="0"/>
              <w:jc w:val="center"/>
            </w:pPr>
            <w:r>
              <w:rPr>
                <w:sz w:val="20"/>
              </w:rPr>
              <w:t xml:space="preserve">807</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6400</w:t>
            </w:r>
          </w:p>
        </w:tc>
        <w:tc>
          <w:tcPr>
            <w:tcW w:w="1024" w:type="dxa"/>
            <w:vAlign w:val="center"/>
          </w:tcPr>
          <w:p>
            <w:pPr>
              <w:pStyle w:val="0"/>
              <w:jc w:val="center"/>
            </w:pPr>
            <w:r>
              <w:rPr>
                <w:sz w:val="20"/>
              </w:rPr>
              <w:t xml:space="preserve">10000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16400,0</w:t>
            </w:r>
          </w:p>
        </w:tc>
      </w:tr>
      <w:tr>
        <w:tc>
          <w:tcPr>
            <w:tcW w:w="1849" w:type="dxa"/>
            <w:vAlign w:val="center"/>
            <w:vMerge w:val="restart"/>
          </w:tcPr>
          <w:p>
            <w:pPr>
              <w:pStyle w:val="0"/>
              <w:jc w:val="center"/>
            </w:pPr>
            <w:r>
              <w:rPr>
                <w:sz w:val="20"/>
              </w:rPr>
              <w:t xml:space="preserve">Подпрограмма 1</w:t>
            </w:r>
          </w:p>
        </w:tc>
        <w:tc>
          <w:tcPr>
            <w:tcW w:w="2314" w:type="dxa"/>
            <w:vAlign w:val="center"/>
            <w:vMerge w:val="restart"/>
          </w:tcPr>
          <w:p>
            <w:pPr>
              <w:pStyle w:val="0"/>
              <w:jc w:val="center"/>
            </w:pPr>
            <w:r>
              <w:rPr>
                <w:sz w:val="20"/>
              </w:rPr>
              <w:t xml:space="preserve">Развитие лесного хозяйства</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144930</w:t>
            </w:r>
          </w:p>
        </w:tc>
        <w:tc>
          <w:tcPr>
            <w:tcW w:w="844" w:type="dxa"/>
            <w:vAlign w:val="center"/>
          </w:tcPr>
          <w:p>
            <w:pPr>
              <w:pStyle w:val="0"/>
              <w:jc w:val="center"/>
            </w:pPr>
            <w:r>
              <w:rPr>
                <w:sz w:val="20"/>
              </w:rPr>
              <w:t xml:space="preserve">134056</w:t>
            </w:r>
          </w:p>
        </w:tc>
        <w:tc>
          <w:tcPr>
            <w:tcW w:w="1024" w:type="dxa"/>
            <w:vAlign w:val="center"/>
          </w:tcPr>
          <w:p>
            <w:pPr>
              <w:pStyle w:val="0"/>
              <w:jc w:val="center"/>
            </w:pPr>
            <w:r>
              <w:rPr>
                <w:sz w:val="20"/>
              </w:rPr>
              <w:t xml:space="preserve">156506,0</w:t>
            </w:r>
          </w:p>
        </w:tc>
        <w:tc>
          <w:tcPr>
            <w:tcW w:w="844" w:type="dxa"/>
            <w:vAlign w:val="center"/>
          </w:tcPr>
          <w:p>
            <w:pPr>
              <w:pStyle w:val="0"/>
              <w:jc w:val="center"/>
            </w:pPr>
            <w:r>
              <w:rPr>
                <w:sz w:val="20"/>
              </w:rPr>
              <w:t xml:space="preserve">144304</w:t>
            </w:r>
          </w:p>
        </w:tc>
        <w:tc>
          <w:tcPr>
            <w:tcW w:w="844" w:type="dxa"/>
            <w:vAlign w:val="center"/>
          </w:tcPr>
          <w:p>
            <w:pPr>
              <w:pStyle w:val="0"/>
              <w:jc w:val="center"/>
            </w:pPr>
            <w:r>
              <w:rPr>
                <w:sz w:val="20"/>
              </w:rPr>
              <w:t xml:space="preserve">156868</w:t>
            </w:r>
          </w:p>
        </w:tc>
        <w:tc>
          <w:tcPr>
            <w:tcW w:w="1024" w:type="dxa"/>
            <w:vAlign w:val="center"/>
          </w:tcPr>
          <w:p>
            <w:pPr>
              <w:pStyle w:val="0"/>
              <w:jc w:val="center"/>
            </w:pPr>
            <w:r>
              <w:rPr>
                <w:sz w:val="20"/>
              </w:rPr>
              <w:t xml:space="preserve">154095,0</w:t>
            </w:r>
          </w:p>
        </w:tc>
        <w:tc>
          <w:tcPr>
            <w:tcW w:w="1024" w:type="dxa"/>
            <w:vAlign w:val="center"/>
          </w:tcPr>
          <w:p>
            <w:pPr>
              <w:pStyle w:val="0"/>
              <w:jc w:val="center"/>
            </w:pPr>
            <w:r>
              <w:rPr>
                <w:sz w:val="20"/>
              </w:rPr>
              <w:t xml:space="preserve">343080,4</w:t>
            </w:r>
          </w:p>
        </w:tc>
        <w:tc>
          <w:tcPr>
            <w:tcW w:w="1144" w:type="dxa"/>
            <w:vAlign w:val="center"/>
          </w:tcPr>
          <w:p>
            <w:pPr>
              <w:pStyle w:val="0"/>
              <w:jc w:val="center"/>
            </w:pPr>
            <w:r>
              <w:rPr>
                <w:sz w:val="20"/>
              </w:rPr>
              <w:t xml:space="preserve">1233839,4</w:t>
            </w:r>
          </w:p>
        </w:tc>
      </w:tr>
      <w:tr>
        <w:tc>
          <w:tcPr>
            <w:vMerge w:val="continue"/>
          </w:tcPr>
          <w:p/>
        </w:tc>
        <w:tc>
          <w:tcPr>
            <w:vMerge w:val="continue"/>
          </w:tcP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144930</w:t>
            </w:r>
          </w:p>
        </w:tc>
        <w:tc>
          <w:tcPr>
            <w:tcW w:w="844" w:type="dxa"/>
            <w:vAlign w:val="center"/>
          </w:tcPr>
          <w:p>
            <w:pPr>
              <w:pStyle w:val="0"/>
              <w:jc w:val="center"/>
            </w:pPr>
            <w:r>
              <w:rPr>
                <w:sz w:val="20"/>
              </w:rPr>
              <w:t xml:space="preserve">134056</w:t>
            </w:r>
          </w:p>
        </w:tc>
        <w:tc>
          <w:tcPr>
            <w:tcW w:w="1024" w:type="dxa"/>
            <w:vAlign w:val="center"/>
          </w:tcPr>
          <w:p>
            <w:pPr>
              <w:pStyle w:val="0"/>
              <w:jc w:val="center"/>
            </w:pPr>
            <w:r>
              <w:rPr>
                <w:sz w:val="20"/>
              </w:rPr>
              <w:t xml:space="preserve">156506,0</w:t>
            </w:r>
          </w:p>
        </w:tc>
        <w:tc>
          <w:tcPr>
            <w:tcW w:w="844" w:type="dxa"/>
            <w:vAlign w:val="center"/>
          </w:tcPr>
          <w:p>
            <w:pPr>
              <w:pStyle w:val="0"/>
              <w:jc w:val="center"/>
            </w:pPr>
            <w:r>
              <w:rPr>
                <w:sz w:val="20"/>
              </w:rPr>
              <w:t xml:space="preserve">144304</w:t>
            </w:r>
          </w:p>
        </w:tc>
        <w:tc>
          <w:tcPr>
            <w:tcW w:w="844" w:type="dxa"/>
            <w:vAlign w:val="center"/>
          </w:tcPr>
          <w:p>
            <w:pPr>
              <w:pStyle w:val="0"/>
              <w:jc w:val="center"/>
            </w:pPr>
            <w:r>
              <w:rPr>
                <w:sz w:val="20"/>
              </w:rPr>
              <w:t xml:space="preserve">156868</w:t>
            </w:r>
          </w:p>
        </w:tc>
        <w:tc>
          <w:tcPr>
            <w:tcW w:w="1024" w:type="dxa"/>
            <w:vAlign w:val="center"/>
          </w:tcPr>
          <w:p>
            <w:pPr>
              <w:pStyle w:val="0"/>
              <w:jc w:val="center"/>
            </w:pPr>
            <w:r>
              <w:rPr>
                <w:sz w:val="20"/>
              </w:rPr>
              <w:t xml:space="preserve">154095,0</w:t>
            </w:r>
          </w:p>
        </w:tc>
        <w:tc>
          <w:tcPr>
            <w:tcW w:w="1024" w:type="dxa"/>
            <w:vAlign w:val="center"/>
          </w:tcPr>
          <w:p>
            <w:pPr>
              <w:pStyle w:val="0"/>
              <w:jc w:val="center"/>
            </w:pPr>
            <w:r>
              <w:rPr>
                <w:sz w:val="20"/>
              </w:rPr>
              <w:t xml:space="preserve">343080,4</w:t>
            </w:r>
          </w:p>
        </w:tc>
        <w:tc>
          <w:tcPr>
            <w:tcW w:w="1144" w:type="dxa"/>
            <w:vAlign w:val="center"/>
          </w:tcPr>
          <w:p>
            <w:pPr>
              <w:pStyle w:val="0"/>
              <w:jc w:val="center"/>
            </w:pPr>
            <w:r>
              <w:rPr>
                <w:sz w:val="20"/>
              </w:rPr>
              <w:t xml:space="preserve">1233839,4</w:t>
            </w:r>
          </w:p>
        </w:tc>
      </w:tr>
      <w:tr>
        <w:tc>
          <w:tcPr>
            <w:tcW w:w="1849" w:type="dxa"/>
            <w:vAlign w:val="center"/>
          </w:tcPr>
          <w:p>
            <w:pPr>
              <w:pStyle w:val="0"/>
              <w:jc w:val="center"/>
            </w:pPr>
            <w:r>
              <w:rPr>
                <w:sz w:val="20"/>
              </w:rPr>
              <w:t xml:space="preserve">Основное мероприятие 1.1</w:t>
            </w:r>
          </w:p>
        </w:tc>
        <w:tc>
          <w:tcPr>
            <w:tcW w:w="2314" w:type="dxa"/>
            <w:vAlign w:val="center"/>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134" w:type="dxa"/>
            <w:vAlign w:val="center"/>
          </w:tcPr>
          <w:p>
            <w:pPr>
              <w:pStyle w:val="0"/>
              <w:jc w:val="center"/>
            </w:pPr>
            <w:r>
              <w:rPr>
                <w:sz w:val="20"/>
              </w:rPr>
              <w:t xml:space="preserve">12 1 01 90019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19916</w:t>
            </w:r>
          </w:p>
        </w:tc>
        <w:tc>
          <w:tcPr>
            <w:tcW w:w="844" w:type="dxa"/>
            <w:vAlign w:val="center"/>
          </w:tcPr>
          <w:p>
            <w:pPr>
              <w:pStyle w:val="0"/>
              <w:jc w:val="center"/>
            </w:pPr>
            <w:r>
              <w:rPr>
                <w:sz w:val="20"/>
              </w:rPr>
              <w:t xml:space="preserve">11211</w:t>
            </w:r>
          </w:p>
        </w:tc>
        <w:tc>
          <w:tcPr>
            <w:tcW w:w="1024" w:type="dxa"/>
            <w:vAlign w:val="center"/>
          </w:tcPr>
          <w:p>
            <w:pPr>
              <w:pStyle w:val="0"/>
              <w:jc w:val="center"/>
            </w:pPr>
            <w:r>
              <w:rPr>
                <w:sz w:val="20"/>
              </w:rPr>
              <w:t xml:space="preserve">10373,0</w:t>
            </w:r>
          </w:p>
        </w:tc>
        <w:tc>
          <w:tcPr>
            <w:tcW w:w="844" w:type="dxa"/>
            <w:vAlign w:val="center"/>
          </w:tcPr>
          <w:p>
            <w:pPr>
              <w:pStyle w:val="0"/>
              <w:jc w:val="center"/>
            </w:pPr>
            <w:r>
              <w:rPr>
                <w:sz w:val="20"/>
              </w:rPr>
              <w:t xml:space="preserve">4748</w:t>
            </w:r>
          </w:p>
        </w:tc>
        <w:tc>
          <w:tcPr>
            <w:tcW w:w="844" w:type="dxa"/>
            <w:vAlign w:val="center"/>
          </w:tcPr>
          <w:p>
            <w:pPr>
              <w:pStyle w:val="0"/>
              <w:jc w:val="center"/>
            </w:pPr>
            <w:r>
              <w:rPr>
                <w:sz w:val="20"/>
              </w:rPr>
              <w:t xml:space="preserve">2315</w:t>
            </w:r>
          </w:p>
        </w:tc>
        <w:tc>
          <w:tcPr>
            <w:tcW w:w="1024" w:type="dxa"/>
            <w:vAlign w:val="center"/>
          </w:tcPr>
          <w:p>
            <w:pPr>
              <w:pStyle w:val="0"/>
              <w:jc w:val="center"/>
            </w:pPr>
            <w:r>
              <w:rPr>
                <w:sz w:val="20"/>
              </w:rPr>
              <w:t xml:space="preserve">2047,0</w:t>
            </w:r>
          </w:p>
        </w:tc>
        <w:tc>
          <w:tcPr>
            <w:tcW w:w="1024" w:type="dxa"/>
            <w:vAlign w:val="center"/>
          </w:tcPr>
          <w:p>
            <w:pPr>
              <w:pStyle w:val="0"/>
              <w:jc w:val="center"/>
            </w:pPr>
            <w:r>
              <w:rPr>
                <w:sz w:val="20"/>
              </w:rPr>
              <w:t xml:space="preserve">2192,7</w:t>
            </w:r>
          </w:p>
        </w:tc>
        <w:tc>
          <w:tcPr>
            <w:tcW w:w="1144" w:type="dxa"/>
            <w:vAlign w:val="center"/>
          </w:tcPr>
          <w:p>
            <w:pPr>
              <w:pStyle w:val="0"/>
              <w:jc w:val="center"/>
            </w:pPr>
            <w:r>
              <w:rPr>
                <w:sz w:val="20"/>
              </w:rPr>
              <w:t xml:space="preserve">52802,7</w:t>
            </w:r>
          </w:p>
        </w:tc>
      </w:tr>
      <w:tr>
        <w:tc>
          <w:tcPr>
            <w:tcW w:w="1849" w:type="dxa"/>
            <w:vAlign w:val="center"/>
          </w:tcPr>
          <w:p>
            <w:pPr>
              <w:pStyle w:val="0"/>
              <w:jc w:val="center"/>
            </w:pPr>
            <w:r>
              <w:rPr>
                <w:sz w:val="20"/>
              </w:rPr>
              <w:t xml:space="preserve">Основное мероприятие 1.2</w:t>
            </w:r>
          </w:p>
        </w:tc>
        <w:tc>
          <w:tcPr>
            <w:tcW w:w="2314" w:type="dxa"/>
            <w:vAlign w:val="center"/>
          </w:tcPr>
          <w:p>
            <w:pPr>
              <w:pStyle w:val="0"/>
              <w:jc w:val="center"/>
            </w:pPr>
            <w:r>
              <w:rPr>
                <w:sz w:val="20"/>
              </w:rPr>
              <w:t xml:space="preserve">Обеспечение деятельности (оказание услуг) государственных учреждений (организаций)</w:t>
            </w: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134" w:type="dxa"/>
            <w:vAlign w:val="center"/>
          </w:tcPr>
          <w:p>
            <w:pPr>
              <w:pStyle w:val="0"/>
              <w:jc w:val="center"/>
            </w:pPr>
            <w:r>
              <w:rPr>
                <w:sz w:val="20"/>
              </w:rPr>
              <w:t xml:space="preserve">12 1 02 00590</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125014</w:t>
            </w:r>
          </w:p>
        </w:tc>
        <w:tc>
          <w:tcPr>
            <w:tcW w:w="844" w:type="dxa"/>
            <w:vAlign w:val="center"/>
          </w:tcPr>
          <w:p>
            <w:pPr>
              <w:pStyle w:val="0"/>
              <w:jc w:val="center"/>
            </w:pPr>
            <w:r>
              <w:rPr>
                <w:sz w:val="20"/>
              </w:rPr>
              <w:t xml:space="preserve">122845</w:t>
            </w:r>
          </w:p>
        </w:tc>
        <w:tc>
          <w:tcPr>
            <w:tcW w:w="1024" w:type="dxa"/>
            <w:vAlign w:val="center"/>
          </w:tcPr>
          <w:p>
            <w:pPr>
              <w:pStyle w:val="0"/>
              <w:jc w:val="center"/>
            </w:pPr>
            <w:r>
              <w:rPr>
                <w:sz w:val="20"/>
              </w:rPr>
              <w:t xml:space="preserve">129004,0</w:t>
            </w:r>
          </w:p>
        </w:tc>
        <w:tc>
          <w:tcPr>
            <w:tcW w:w="844" w:type="dxa"/>
            <w:vAlign w:val="center"/>
          </w:tcPr>
          <w:p>
            <w:pPr>
              <w:pStyle w:val="0"/>
              <w:jc w:val="center"/>
            </w:pPr>
            <w:r>
              <w:rPr>
                <w:sz w:val="20"/>
              </w:rPr>
              <w:t xml:space="preserve">132847</w:t>
            </w:r>
          </w:p>
        </w:tc>
        <w:tc>
          <w:tcPr>
            <w:tcW w:w="844" w:type="dxa"/>
            <w:vAlign w:val="center"/>
          </w:tcPr>
          <w:p>
            <w:pPr>
              <w:pStyle w:val="0"/>
              <w:jc w:val="center"/>
            </w:pPr>
            <w:r>
              <w:rPr>
                <w:sz w:val="20"/>
              </w:rPr>
              <w:t xml:space="preserve">142844</w:t>
            </w:r>
          </w:p>
        </w:tc>
        <w:tc>
          <w:tcPr>
            <w:tcW w:w="1024" w:type="dxa"/>
            <w:vAlign w:val="center"/>
          </w:tcPr>
          <w:p>
            <w:pPr>
              <w:pStyle w:val="0"/>
              <w:jc w:val="center"/>
            </w:pPr>
            <w:r>
              <w:rPr>
                <w:sz w:val="20"/>
              </w:rPr>
              <w:t xml:space="preserve">140339,0</w:t>
            </w:r>
          </w:p>
        </w:tc>
        <w:tc>
          <w:tcPr>
            <w:tcW w:w="1024" w:type="dxa"/>
            <w:vAlign w:val="center"/>
          </w:tcPr>
          <w:p>
            <w:pPr>
              <w:pStyle w:val="0"/>
              <w:jc w:val="center"/>
            </w:pPr>
            <w:r>
              <w:rPr>
                <w:sz w:val="20"/>
              </w:rPr>
              <w:t xml:space="preserve">192406,4</w:t>
            </w:r>
          </w:p>
        </w:tc>
        <w:tc>
          <w:tcPr>
            <w:tcW w:w="1144" w:type="dxa"/>
            <w:vAlign w:val="center"/>
          </w:tcPr>
          <w:p>
            <w:pPr>
              <w:pStyle w:val="0"/>
              <w:jc w:val="center"/>
            </w:pPr>
            <w:r>
              <w:rPr>
                <w:sz w:val="20"/>
              </w:rPr>
              <w:t xml:space="preserve">985299,4</w:t>
            </w:r>
          </w:p>
        </w:tc>
      </w:tr>
      <w:tr>
        <w:tc>
          <w:tcPr>
            <w:tcW w:w="1849" w:type="dxa"/>
            <w:vAlign w:val="center"/>
          </w:tcPr>
          <w:p>
            <w:pPr>
              <w:pStyle w:val="0"/>
              <w:jc w:val="center"/>
            </w:pPr>
            <w:r>
              <w:rPr>
                <w:sz w:val="20"/>
              </w:rPr>
              <w:t xml:space="preserve">Основное мероприятие 1.3</w:t>
            </w:r>
          </w:p>
        </w:tc>
        <w:tc>
          <w:tcPr>
            <w:tcW w:w="2314" w:type="dxa"/>
            <w:vAlign w:val="center"/>
          </w:tcPr>
          <w:p>
            <w:pPr>
              <w:pStyle w:val="0"/>
              <w:jc w:val="center"/>
            </w:pPr>
            <w:r>
              <w:rPr>
                <w:sz w:val="20"/>
              </w:rPr>
              <w:t xml:space="preserve">Осуществление органами государственной власти Российской Федерации отдельных полномочий в области лесных отношений</w:t>
            </w: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134" w:type="dxa"/>
            <w:vAlign w:val="center"/>
          </w:tcPr>
          <w:p>
            <w:pPr>
              <w:pStyle w:val="0"/>
              <w:jc w:val="center"/>
            </w:pPr>
            <w:r>
              <w:rPr>
                <w:sz w:val="20"/>
              </w:rPr>
              <w:t xml:space="preserve">12 1 03 51290</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119740,1</w:t>
            </w:r>
          </w:p>
        </w:tc>
        <w:tc>
          <w:tcPr>
            <w:tcW w:w="1144" w:type="dxa"/>
            <w:vAlign w:val="center"/>
          </w:tcPr>
          <w:p>
            <w:pPr>
              <w:pStyle w:val="0"/>
              <w:jc w:val="center"/>
            </w:pPr>
            <w:r>
              <w:rPr>
                <w:sz w:val="20"/>
              </w:rPr>
              <w:t xml:space="preserve">119740,1</w:t>
            </w:r>
          </w:p>
        </w:tc>
      </w:tr>
      <w:tr>
        <w:tc>
          <w:tcPr>
            <w:tcW w:w="1849" w:type="dxa"/>
            <w:vAlign w:val="center"/>
          </w:tcPr>
          <w:p>
            <w:pPr>
              <w:pStyle w:val="0"/>
              <w:jc w:val="center"/>
            </w:pPr>
            <w:r>
              <w:rPr>
                <w:sz w:val="20"/>
              </w:rPr>
              <w:t xml:space="preserve">Основное мероприятие 1.4</w:t>
            </w:r>
          </w:p>
        </w:tc>
        <w:tc>
          <w:tcPr>
            <w:tcW w:w="2314" w:type="dxa"/>
            <w:vAlign w:val="center"/>
          </w:tcPr>
          <w:p>
            <w:pPr>
              <w:pStyle w:val="0"/>
              <w:jc w:val="center"/>
            </w:pPr>
            <w:r>
              <w:rPr>
                <w:sz w:val="20"/>
              </w:rPr>
              <w:t xml:space="preserve">Приобретение специализированной лесопожарной техники и оборудования</w:t>
            </w: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134" w:type="dxa"/>
            <w:vAlign w:val="center"/>
          </w:tcPr>
          <w:p>
            <w:pPr>
              <w:pStyle w:val="0"/>
              <w:jc w:val="center"/>
            </w:pPr>
            <w:r>
              <w:rPr>
                <w:sz w:val="20"/>
              </w:rPr>
              <w:t xml:space="preserve">12104R1310</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189,0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189,0</w:t>
            </w:r>
          </w:p>
        </w:tc>
      </w:tr>
      <w:tr>
        <w:tc>
          <w:tcPr>
            <w:tcW w:w="1849" w:type="dxa"/>
            <w:vAlign w:val="center"/>
          </w:tcPr>
          <w:p>
            <w:pPr>
              <w:pStyle w:val="0"/>
              <w:jc w:val="center"/>
            </w:pPr>
            <w:r>
              <w:rPr>
                <w:sz w:val="20"/>
              </w:rPr>
              <w:t xml:space="preserve">Основное мероприятие 1.5</w:t>
            </w:r>
          </w:p>
        </w:tc>
        <w:tc>
          <w:tcPr>
            <w:tcW w:w="2314" w:type="dxa"/>
            <w:vAlign w:val="center"/>
          </w:tcPr>
          <w:p>
            <w:pPr>
              <w:pStyle w:val="0"/>
              <w:jc w:val="center"/>
            </w:pPr>
            <w:r>
              <w:rPr>
                <w:sz w:val="20"/>
              </w:rPr>
              <w:t xml:space="preserve">Создание полезащитных полос</w:t>
            </w: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134" w:type="dxa"/>
            <w:vAlign w:val="center"/>
          </w:tcPr>
          <w:p>
            <w:pPr>
              <w:pStyle w:val="0"/>
              <w:jc w:val="center"/>
            </w:pPr>
            <w:r>
              <w:rPr>
                <w:sz w:val="20"/>
              </w:rPr>
              <w:t xml:space="preserve">12 1 05 00590</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16940,0</w:t>
            </w:r>
          </w:p>
        </w:tc>
        <w:tc>
          <w:tcPr>
            <w:tcW w:w="844" w:type="dxa"/>
            <w:vAlign w:val="center"/>
          </w:tcPr>
          <w:p>
            <w:pPr>
              <w:pStyle w:val="0"/>
              <w:jc w:val="center"/>
            </w:pPr>
            <w:r>
              <w:rPr>
                <w:sz w:val="20"/>
              </w:rPr>
              <w:t xml:space="preserve">6709</w:t>
            </w:r>
          </w:p>
        </w:tc>
        <w:tc>
          <w:tcPr>
            <w:tcW w:w="844" w:type="dxa"/>
            <w:vAlign w:val="center"/>
          </w:tcPr>
          <w:p>
            <w:pPr>
              <w:pStyle w:val="0"/>
              <w:jc w:val="center"/>
            </w:pPr>
            <w:r>
              <w:rPr>
                <w:sz w:val="20"/>
              </w:rPr>
              <w:t xml:space="preserve">11709</w:t>
            </w:r>
          </w:p>
        </w:tc>
        <w:tc>
          <w:tcPr>
            <w:tcW w:w="1024" w:type="dxa"/>
            <w:vAlign w:val="center"/>
          </w:tcPr>
          <w:p>
            <w:pPr>
              <w:pStyle w:val="0"/>
              <w:jc w:val="center"/>
            </w:pPr>
            <w:r>
              <w:rPr>
                <w:sz w:val="20"/>
              </w:rPr>
              <w:t xml:space="preserve">11709,0</w:t>
            </w:r>
          </w:p>
        </w:tc>
        <w:tc>
          <w:tcPr>
            <w:tcW w:w="1024" w:type="dxa"/>
            <w:vAlign w:val="center"/>
          </w:tcPr>
          <w:p>
            <w:pPr>
              <w:pStyle w:val="0"/>
              <w:jc w:val="center"/>
            </w:pPr>
            <w:r>
              <w:rPr>
                <w:sz w:val="20"/>
              </w:rPr>
              <w:t xml:space="preserve">10600,9</w:t>
            </w:r>
          </w:p>
        </w:tc>
        <w:tc>
          <w:tcPr>
            <w:tcW w:w="1144" w:type="dxa"/>
            <w:vAlign w:val="center"/>
          </w:tcPr>
          <w:p>
            <w:pPr>
              <w:pStyle w:val="0"/>
              <w:jc w:val="center"/>
            </w:pPr>
            <w:r>
              <w:rPr>
                <w:sz w:val="20"/>
              </w:rPr>
              <w:t xml:space="preserve">57667,9</w:t>
            </w:r>
          </w:p>
        </w:tc>
      </w:tr>
      <w:tr>
        <w:tc>
          <w:tcPr>
            <w:tcW w:w="1849" w:type="dxa"/>
            <w:vAlign w:val="center"/>
          </w:tcPr>
          <w:p>
            <w:pPr>
              <w:pStyle w:val="0"/>
              <w:jc w:val="center"/>
            </w:pPr>
            <w:r>
              <w:rPr>
                <w:sz w:val="20"/>
              </w:rPr>
              <w:t xml:space="preserve">Проект 1.GA</w:t>
            </w:r>
          </w:p>
        </w:tc>
        <w:tc>
          <w:tcPr>
            <w:tcW w:w="2314" w:type="dxa"/>
            <w:vAlign w:val="center"/>
          </w:tcPr>
          <w:p>
            <w:pPr>
              <w:pStyle w:val="0"/>
              <w:jc w:val="center"/>
            </w:pPr>
            <w:r>
              <w:rPr>
                <w:sz w:val="20"/>
              </w:rPr>
              <w:t xml:space="preserve">Сохранение лесов</w:t>
            </w: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134" w:type="dxa"/>
            <w:vAlign w:val="center"/>
          </w:tcPr>
          <w:p>
            <w:pPr>
              <w:pStyle w:val="0"/>
              <w:jc w:val="center"/>
            </w:pPr>
            <w:r>
              <w:rPr>
                <w:sz w:val="20"/>
              </w:rPr>
              <w:t xml:space="preserve">12 1 GA</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18140,3</w:t>
            </w:r>
          </w:p>
        </w:tc>
        <w:tc>
          <w:tcPr>
            <w:tcW w:w="1144" w:type="dxa"/>
            <w:vAlign w:val="center"/>
          </w:tcPr>
          <w:p>
            <w:pPr>
              <w:pStyle w:val="0"/>
              <w:jc w:val="center"/>
            </w:pPr>
            <w:r>
              <w:rPr>
                <w:sz w:val="20"/>
              </w:rPr>
              <w:t xml:space="preserve">18140,3</w:t>
            </w:r>
          </w:p>
        </w:tc>
      </w:tr>
      <w:tr>
        <w:tc>
          <w:tcPr>
            <w:tcW w:w="1849" w:type="dxa"/>
            <w:vAlign w:val="center"/>
            <w:vMerge w:val="restart"/>
          </w:tcPr>
          <w:p>
            <w:pPr>
              <w:pStyle w:val="0"/>
              <w:jc w:val="center"/>
            </w:pPr>
            <w:r>
              <w:rPr>
                <w:sz w:val="20"/>
              </w:rPr>
              <w:t xml:space="preserve">Подпрограмма 2</w:t>
            </w:r>
          </w:p>
        </w:tc>
        <w:tc>
          <w:tcPr>
            <w:tcW w:w="2314" w:type="dxa"/>
            <w:vAlign w:val="center"/>
            <w:vMerge w:val="restart"/>
          </w:tcPr>
          <w:p>
            <w:pPr>
              <w:pStyle w:val="0"/>
              <w:jc w:val="center"/>
            </w:pPr>
            <w:r>
              <w:rPr>
                <w:sz w:val="20"/>
              </w:rPr>
              <w:t xml:space="preserve">Развитие водохозяйственного комплекса</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900</w:t>
            </w:r>
          </w:p>
        </w:tc>
        <w:tc>
          <w:tcPr>
            <w:tcW w:w="844" w:type="dxa"/>
            <w:vAlign w:val="center"/>
          </w:tcPr>
          <w:p>
            <w:pPr>
              <w:pStyle w:val="0"/>
              <w:jc w:val="center"/>
            </w:pPr>
            <w:r>
              <w:rPr>
                <w:sz w:val="20"/>
              </w:rPr>
              <w:t xml:space="preserve">900</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2832</w:t>
            </w:r>
          </w:p>
        </w:tc>
        <w:tc>
          <w:tcPr>
            <w:tcW w:w="1024" w:type="dxa"/>
            <w:vAlign w:val="center"/>
          </w:tcPr>
          <w:p>
            <w:pPr>
              <w:pStyle w:val="0"/>
              <w:jc w:val="center"/>
            </w:pPr>
            <w:r>
              <w:rPr>
                <w:sz w:val="20"/>
              </w:rPr>
              <w:t xml:space="preserve">3991,6</w:t>
            </w:r>
          </w:p>
        </w:tc>
        <w:tc>
          <w:tcPr>
            <w:tcW w:w="1024" w:type="dxa"/>
            <w:vAlign w:val="center"/>
          </w:tcPr>
          <w:p>
            <w:pPr>
              <w:pStyle w:val="0"/>
              <w:jc w:val="center"/>
            </w:pPr>
            <w:r>
              <w:rPr>
                <w:sz w:val="20"/>
              </w:rPr>
              <w:t xml:space="preserve">25156,8</w:t>
            </w:r>
          </w:p>
        </w:tc>
        <w:tc>
          <w:tcPr>
            <w:tcW w:w="1144" w:type="dxa"/>
            <w:vAlign w:val="center"/>
          </w:tcPr>
          <w:p>
            <w:pPr>
              <w:pStyle w:val="0"/>
              <w:jc w:val="center"/>
            </w:pPr>
            <w:r>
              <w:rPr>
                <w:sz w:val="20"/>
              </w:rPr>
              <w:t xml:space="preserve">33780,4</w:t>
            </w:r>
          </w:p>
        </w:tc>
      </w:tr>
      <w:tr>
        <w:tc>
          <w:tcPr>
            <w:vMerge w:val="continue"/>
          </w:tcPr>
          <w:p/>
        </w:tc>
        <w:tc>
          <w:tcPr>
            <w:vMerge w:val="continue"/>
          </w:tcP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900</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900,0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900</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900,0</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2832</w:t>
            </w:r>
          </w:p>
        </w:tc>
        <w:tc>
          <w:tcPr>
            <w:tcW w:w="1024" w:type="dxa"/>
            <w:vAlign w:val="center"/>
          </w:tcPr>
          <w:p>
            <w:pPr>
              <w:pStyle w:val="0"/>
              <w:jc w:val="center"/>
            </w:pPr>
            <w:r>
              <w:rPr>
                <w:sz w:val="20"/>
              </w:rPr>
              <w:t xml:space="preserve">3991,6</w:t>
            </w:r>
          </w:p>
        </w:tc>
        <w:tc>
          <w:tcPr>
            <w:tcW w:w="1024" w:type="dxa"/>
            <w:vAlign w:val="center"/>
          </w:tcPr>
          <w:p>
            <w:pPr>
              <w:pStyle w:val="0"/>
              <w:jc w:val="center"/>
            </w:pPr>
            <w:r>
              <w:rPr>
                <w:sz w:val="20"/>
              </w:rPr>
              <w:t xml:space="preserve">25156,8</w:t>
            </w:r>
          </w:p>
        </w:tc>
        <w:tc>
          <w:tcPr>
            <w:tcW w:w="1144" w:type="dxa"/>
            <w:vAlign w:val="center"/>
          </w:tcPr>
          <w:p>
            <w:pPr>
              <w:pStyle w:val="0"/>
              <w:jc w:val="center"/>
            </w:pPr>
            <w:r>
              <w:rPr>
                <w:sz w:val="20"/>
              </w:rPr>
              <w:t xml:space="preserve">31980,4</w:t>
            </w:r>
          </w:p>
        </w:tc>
      </w:tr>
      <w:tr>
        <w:tc>
          <w:tcPr>
            <w:tcW w:w="1849" w:type="dxa"/>
            <w:vAlign w:val="center"/>
          </w:tcPr>
          <w:p>
            <w:pPr>
              <w:pStyle w:val="0"/>
              <w:jc w:val="center"/>
            </w:pPr>
            <w:r>
              <w:rPr>
                <w:sz w:val="20"/>
              </w:rPr>
              <w:t xml:space="preserve">Основное мероприятие 2.1</w:t>
            </w:r>
          </w:p>
        </w:tc>
        <w:tc>
          <w:tcPr>
            <w:tcW w:w="2314" w:type="dxa"/>
            <w:vAlign w:val="center"/>
          </w:tcPr>
          <w:p>
            <w:pPr>
              <w:pStyle w:val="0"/>
              <w:jc w:val="center"/>
            </w:pPr>
            <w:r>
              <w:rPr>
                <w:sz w:val="20"/>
              </w:rPr>
              <w:t xml:space="preserve">Осуществление органами государственной власти субъекта Российской Федерации отдельных полномочий в области водных отношений</w:t>
            </w: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0406</w:t>
            </w:r>
          </w:p>
        </w:tc>
        <w:tc>
          <w:tcPr>
            <w:tcW w:w="1134" w:type="dxa"/>
            <w:vAlign w:val="center"/>
          </w:tcPr>
          <w:p>
            <w:pPr>
              <w:pStyle w:val="0"/>
              <w:jc w:val="center"/>
            </w:pPr>
            <w:r>
              <w:rPr>
                <w:sz w:val="20"/>
              </w:rPr>
              <w:t xml:space="preserve">12 2 01 51280</w:t>
            </w:r>
          </w:p>
        </w:tc>
        <w:tc>
          <w:tcPr>
            <w:tcW w:w="604" w:type="dxa"/>
            <w:vAlign w:val="center"/>
          </w:tcPr>
          <w:p>
            <w:pPr>
              <w:pStyle w:val="0"/>
              <w:jc w:val="center"/>
            </w:pPr>
            <w:r>
              <w:rPr>
                <w:sz w:val="20"/>
              </w:rPr>
              <w:t xml:space="preserve">200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5735,5</w:t>
            </w:r>
          </w:p>
        </w:tc>
        <w:tc>
          <w:tcPr>
            <w:tcW w:w="1144" w:type="dxa"/>
            <w:vAlign w:val="center"/>
          </w:tcPr>
          <w:p>
            <w:pPr>
              <w:pStyle w:val="0"/>
              <w:jc w:val="center"/>
            </w:pPr>
            <w:r>
              <w:rPr>
                <w:sz w:val="20"/>
              </w:rPr>
              <w:t xml:space="preserve">5735,5</w:t>
            </w:r>
          </w:p>
        </w:tc>
      </w:tr>
      <w:tr>
        <w:tc>
          <w:tcPr>
            <w:tcW w:w="1849" w:type="dxa"/>
            <w:vAlign w:val="center"/>
            <w:vMerge w:val="restart"/>
          </w:tcPr>
          <w:p>
            <w:pPr>
              <w:pStyle w:val="0"/>
              <w:jc w:val="center"/>
            </w:pPr>
            <w:r>
              <w:rPr>
                <w:sz w:val="20"/>
              </w:rPr>
              <w:t xml:space="preserve">Основное мероприятие 2.2</w:t>
            </w:r>
          </w:p>
        </w:tc>
        <w:tc>
          <w:tcPr>
            <w:tcW w:w="2314" w:type="dxa"/>
            <w:vAlign w:val="center"/>
            <w:vMerge w:val="restart"/>
          </w:tcPr>
          <w:p>
            <w:pPr>
              <w:pStyle w:val="0"/>
              <w:jc w:val="center"/>
            </w:pPr>
            <w:r>
              <w:rPr>
                <w:sz w:val="20"/>
              </w:rPr>
              <w:t xml:space="preserve">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0406</w:t>
            </w:r>
          </w:p>
        </w:tc>
        <w:tc>
          <w:tcPr>
            <w:tcW w:w="1134" w:type="dxa"/>
            <w:vAlign w:val="center"/>
          </w:tcPr>
          <w:p>
            <w:pPr>
              <w:pStyle w:val="0"/>
              <w:jc w:val="center"/>
            </w:pPr>
            <w:r>
              <w:rPr>
                <w:sz w:val="20"/>
              </w:rPr>
              <w:t xml:space="preserve">12 2 2999</w:t>
            </w:r>
          </w:p>
        </w:tc>
        <w:tc>
          <w:tcPr>
            <w:tcW w:w="604" w:type="dxa"/>
            <w:vAlign w:val="center"/>
          </w:tcPr>
          <w:p>
            <w:pPr>
              <w:pStyle w:val="0"/>
              <w:jc w:val="center"/>
            </w:pPr>
            <w:r>
              <w:rPr>
                <w:sz w:val="20"/>
              </w:rPr>
              <w:t xml:space="preserve">244</w:t>
            </w:r>
          </w:p>
        </w:tc>
        <w:tc>
          <w:tcPr>
            <w:tcW w:w="844" w:type="dxa"/>
            <w:vAlign w:val="center"/>
          </w:tcPr>
          <w:p>
            <w:pPr>
              <w:pStyle w:val="0"/>
              <w:jc w:val="center"/>
            </w:pPr>
            <w:r>
              <w:rPr>
                <w:sz w:val="20"/>
              </w:rPr>
              <w:t xml:space="preserve">900</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900,0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0406</w:t>
            </w:r>
          </w:p>
        </w:tc>
        <w:tc>
          <w:tcPr>
            <w:tcW w:w="1134" w:type="dxa"/>
            <w:vAlign w:val="center"/>
          </w:tcPr>
          <w:p>
            <w:pPr>
              <w:pStyle w:val="0"/>
              <w:jc w:val="center"/>
            </w:pPr>
            <w:r>
              <w:rPr>
                <w:sz w:val="20"/>
              </w:rPr>
              <w:t xml:space="preserve">12 2 2999</w:t>
            </w:r>
          </w:p>
        </w:tc>
        <w:tc>
          <w:tcPr>
            <w:tcW w:w="604" w:type="dxa"/>
            <w:vAlign w:val="center"/>
          </w:tcPr>
          <w:p>
            <w:pPr>
              <w:pStyle w:val="0"/>
              <w:jc w:val="center"/>
            </w:pPr>
            <w:r>
              <w:rPr>
                <w:sz w:val="20"/>
              </w:rPr>
              <w:t xml:space="preserve">200</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900</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900,0</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0406</w:t>
            </w:r>
          </w:p>
        </w:tc>
        <w:tc>
          <w:tcPr>
            <w:tcW w:w="1134" w:type="dxa"/>
            <w:vAlign w:val="center"/>
          </w:tcPr>
          <w:p>
            <w:pPr>
              <w:pStyle w:val="0"/>
              <w:jc w:val="center"/>
            </w:pPr>
            <w:r>
              <w:rPr>
                <w:sz w:val="20"/>
              </w:rPr>
              <w:t xml:space="preserve">12 2 02 R0160</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2832</w:t>
            </w:r>
          </w:p>
        </w:tc>
        <w:tc>
          <w:tcPr>
            <w:tcW w:w="1024" w:type="dxa"/>
            <w:vAlign w:val="center"/>
          </w:tcPr>
          <w:p>
            <w:pPr>
              <w:pStyle w:val="0"/>
              <w:jc w:val="center"/>
            </w:pPr>
            <w:r>
              <w:rPr>
                <w:sz w:val="20"/>
              </w:rPr>
              <w:t xml:space="preserve">3991,6</w:t>
            </w:r>
          </w:p>
        </w:tc>
        <w:tc>
          <w:tcPr>
            <w:tcW w:w="1024" w:type="dxa"/>
            <w:vAlign w:val="center"/>
          </w:tcPr>
          <w:p>
            <w:pPr>
              <w:pStyle w:val="0"/>
              <w:jc w:val="center"/>
            </w:pPr>
            <w:r>
              <w:rPr>
                <w:sz w:val="20"/>
              </w:rPr>
              <w:t xml:space="preserve">19421,3</w:t>
            </w:r>
          </w:p>
        </w:tc>
        <w:tc>
          <w:tcPr>
            <w:tcW w:w="1144" w:type="dxa"/>
            <w:vAlign w:val="center"/>
          </w:tcPr>
          <w:p>
            <w:pPr>
              <w:pStyle w:val="0"/>
              <w:jc w:val="center"/>
            </w:pPr>
            <w:r>
              <w:rPr>
                <w:sz w:val="20"/>
              </w:rPr>
              <w:t xml:space="preserve">26244,9</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0406</w:t>
            </w:r>
          </w:p>
        </w:tc>
        <w:tc>
          <w:tcPr>
            <w:tcW w:w="1134" w:type="dxa"/>
            <w:vAlign w:val="center"/>
          </w:tcPr>
          <w:p>
            <w:pPr>
              <w:pStyle w:val="0"/>
              <w:jc w:val="center"/>
            </w:pPr>
            <w:r>
              <w:rPr>
                <w:sz w:val="20"/>
              </w:rPr>
              <w:t xml:space="preserve">12 2 02 R0650</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Подпрограмма 3</w:t>
            </w:r>
          </w:p>
        </w:tc>
        <w:tc>
          <w:tcPr>
            <w:tcW w:w="2314" w:type="dxa"/>
            <w:vAlign w:val="center"/>
            <w:vMerge w:val="restart"/>
          </w:tcPr>
          <w:p>
            <w:pPr>
              <w:pStyle w:val="0"/>
              <w:jc w:val="center"/>
            </w:pPr>
            <w:r>
              <w:rPr>
                <w:sz w:val="20"/>
              </w:rPr>
              <w:t xml:space="preserve">Охрана окружающей среды и рациональное природопользование</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4994</w:t>
            </w:r>
          </w:p>
        </w:tc>
        <w:tc>
          <w:tcPr>
            <w:tcW w:w="844" w:type="dxa"/>
            <w:vAlign w:val="center"/>
          </w:tcPr>
          <w:p>
            <w:pPr>
              <w:pStyle w:val="0"/>
              <w:jc w:val="center"/>
            </w:pPr>
            <w:r>
              <w:rPr>
                <w:sz w:val="20"/>
              </w:rPr>
              <w:t xml:space="preserve">4298</w:t>
            </w:r>
          </w:p>
        </w:tc>
        <w:tc>
          <w:tcPr>
            <w:tcW w:w="1024" w:type="dxa"/>
            <w:vAlign w:val="center"/>
          </w:tcPr>
          <w:p>
            <w:pPr>
              <w:pStyle w:val="0"/>
              <w:jc w:val="center"/>
            </w:pPr>
            <w:r>
              <w:rPr>
                <w:sz w:val="20"/>
              </w:rPr>
              <w:t xml:space="preserve">3833,0</w:t>
            </w:r>
          </w:p>
        </w:tc>
        <w:tc>
          <w:tcPr>
            <w:tcW w:w="844" w:type="dxa"/>
            <w:vAlign w:val="center"/>
          </w:tcPr>
          <w:p>
            <w:pPr>
              <w:pStyle w:val="0"/>
              <w:jc w:val="center"/>
            </w:pPr>
            <w:r>
              <w:rPr>
                <w:sz w:val="20"/>
              </w:rPr>
              <w:t xml:space="preserve">3392</w:t>
            </w:r>
          </w:p>
        </w:tc>
        <w:tc>
          <w:tcPr>
            <w:tcW w:w="844" w:type="dxa"/>
            <w:vAlign w:val="center"/>
          </w:tcPr>
          <w:p>
            <w:pPr>
              <w:pStyle w:val="0"/>
              <w:jc w:val="center"/>
            </w:pPr>
            <w:r>
              <w:rPr>
                <w:sz w:val="20"/>
              </w:rPr>
              <w:t xml:space="preserve">21091</w:t>
            </w:r>
          </w:p>
        </w:tc>
        <w:tc>
          <w:tcPr>
            <w:tcW w:w="1024" w:type="dxa"/>
            <w:vAlign w:val="center"/>
          </w:tcPr>
          <w:p>
            <w:pPr>
              <w:pStyle w:val="0"/>
              <w:jc w:val="center"/>
            </w:pPr>
            <w:r>
              <w:rPr>
                <w:sz w:val="20"/>
              </w:rPr>
              <w:t xml:space="preserve">13227,0</w:t>
            </w:r>
          </w:p>
        </w:tc>
        <w:tc>
          <w:tcPr>
            <w:tcW w:w="1024" w:type="dxa"/>
            <w:vAlign w:val="center"/>
          </w:tcPr>
          <w:p>
            <w:pPr>
              <w:pStyle w:val="0"/>
              <w:jc w:val="center"/>
            </w:pPr>
            <w:r>
              <w:rPr>
                <w:sz w:val="20"/>
              </w:rPr>
              <w:t xml:space="preserve">3988,1</w:t>
            </w:r>
          </w:p>
        </w:tc>
        <w:tc>
          <w:tcPr>
            <w:tcW w:w="1144" w:type="dxa"/>
            <w:vAlign w:val="center"/>
          </w:tcPr>
          <w:p>
            <w:pPr>
              <w:pStyle w:val="0"/>
              <w:jc w:val="center"/>
            </w:pPr>
            <w:r>
              <w:rPr>
                <w:sz w:val="20"/>
              </w:rPr>
              <w:t xml:space="preserve">54823,1</w:t>
            </w:r>
          </w:p>
        </w:tc>
      </w:tr>
      <w:tr>
        <w:tc>
          <w:tcPr>
            <w:vMerge w:val="continue"/>
          </w:tcPr>
          <w:p/>
        </w:tc>
        <w:tc>
          <w:tcPr>
            <w:vMerge w:val="continue"/>
          </w:tcP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4994</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4994,0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4298</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4298,0</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3833,0</w:t>
            </w:r>
          </w:p>
        </w:tc>
        <w:tc>
          <w:tcPr>
            <w:tcW w:w="844" w:type="dxa"/>
            <w:vAlign w:val="center"/>
          </w:tcPr>
          <w:p>
            <w:pPr>
              <w:pStyle w:val="0"/>
              <w:jc w:val="center"/>
            </w:pPr>
            <w:r>
              <w:rPr>
                <w:sz w:val="20"/>
              </w:rPr>
              <w:t xml:space="preserve">3392</w:t>
            </w:r>
          </w:p>
        </w:tc>
        <w:tc>
          <w:tcPr>
            <w:tcW w:w="844" w:type="dxa"/>
            <w:vAlign w:val="center"/>
          </w:tcPr>
          <w:p>
            <w:pPr>
              <w:pStyle w:val="0"/>
              <w:jc w:val="center"/>
            </w:pPr>
            <w:r>
              <w:rPr>
                <w:sz w:val="20"/>
              </w:rPr>
              <w:t xml:space="preserve">3970</w:t>
            </w:r>
          </w:p>
        </w:tc>
        <w:tc>
          <w:tcPr>
            <w:tcW w:w="1024" w:type="dxa"/>
            <w:vAlign w:val="center"/>
          </w:tcPr>
          <w:p>
            <w:pPr>
              <w:pStyle w:val="0"/>
              <w:jc w:val="center"/>
            </w:pPr>
            <w:r>
              <w:rPr>
                <w:sz w:val="20"/>
              </w:rPr>
              <w:t xml:space="preserve">5188,0</w:t>
            </w:r>
          </w:p>
        </w:tc>
        <w:tc>
          <w:tcPr>
            <w:tcW w:w="1024" w:type="dxa"/>
            <w:vAlign w:val="center"/>
          </w:tcPr>
          <w:p>
            <w:pPr>
              <w:pStyle w:val="0"/>
              <w:jc w:val="center"/>
            </w:pPr>
            <w:r>
              <w:rPr>
                <w:sz w:val="20"/>
              </w:rPr>
              <w:t xml:space="preserve">3988,1</w:t>
            </w:r>
          </w:p>
        </w:tc>
        <w:tc>
          <w:tcPr>
            <w:tcW w:w="1144" w:type="dxa"/>
            <w:vAlign w:val="center"/>
          </w:tcPr>
          <w:p>
            <w:pPr>
              <w:pStyle w:val="0"/>
              <w:jc w:val="center"/>
            </w:pPr>
            <w:r>
              <w:rPr>
                <w:sz w:val="20"/>
              </w:rPr>
              <w:t xml:space="preserve">20371,1</w:t>
            </w:r>
          </w:p>
        </w:tc>
      </w:tr>
      <w:tr>
        <w:tc>
          <w:tcPr>
            <w:vMerge w:val="continue"/>
          </w:tcPr>
          <w:p/>
        </w:tc>
        <w:tc>
          <w:tcPr>
            <w:vMerge w:val="continue"/>
          </w:tcP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17121</w:t>
            </w:r>
          </w:p>
        </w:tc>
        <w:tc>
          <w:tcPr>
            <w:tcW w:w="1024" w:type="dxa"/>
            <w:vAlign w:val="center"/>
          </w:tcPr>
          <w:p>
            <w:pPr>
              <w:pStyle w:val="0"/>
              <w:jc w:val="center"/>
            </w:pPr>
            <w:r>
              <w:rPr>
                <w:sz w:val="20"/>
              </w:rPr>
              <w:t xml:space="preserve">8039,0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25160,0</w:t>
            </w:r>
          </w:p>
        </w:tc>
      </w:tr>
      <w:tr>
        <w:tc>
          <w:tcPr>
            <w:tcW w:w="1849" w:type="dxa"/>
            <w:vAlign w:val="center"/>
            <w:vMerge w:val="restart"/>
          </w:tcPr>
          <w:p>
            <w:pPr>
              <w:pStyle w:val="0"/>
              <w:jc w:val="center"/>
            </w:pPr>
            <w:r>
              <w:rPr>
                <w:sz w:val="20"/>
              </w:rPr>
              <w:t xml:space="preserve">Основное мероприятие 3.1</w:t>
            </w:r>
          </w:p>
        </w:tc>
        <w:tc>
          <w:tcPr>
            <w:tcW w:w="2314" w:type="dxa"/>
            <w:vAlign w:val="center"/>
            <w:vMerge w:val="restart"/>
          </w:tcPr>
          <w:p>
            <w:pPr>
              <w:pStyle w:val="0"/>
              <w:jc w:val="center"/>
            </w:pPr>
            <w:r>
              <w:rPr>
                <w:sz w:val="20"/>
              </w:rPr>
              <w:t xml:space="preserve">Охрана окружающей среды и рациональное природопользование</w:t>
            </w: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12 3 2999</w:t>
            </w:r>
          </w:p>
        </w:tc>
        <w:tc>
          <w:tcPr>
            <w:tcW w:w="604" w:type="dxa"/>
            <w:vAlign w:val="center"/>
          </w:tcPr>
          <w:p>
            <w:pPr>
              <w:pStyle w:val="0"/>
              <w:jc w:val="center"/>
            </w:pPr>
            <w:r>
              <w:rPr>
                <w:sz w:val="20"/>
              </w:rPr>
              <w:t xml:space="preserve">1057</w:t>
            </w:r>
          </w:p>
        </w:tc>
        <w:tc>
          <w:tcPr>
            <w:tcW w:w="844" w:type="dxa"/>
            <w:vAlign w:val="center"/>
          </w:tcPr>
          <w:p>
            <w:pPr>
              <w:pStyle w:val="0"/>
              <w:jc w:val="center"/>
            </w:pPr>
            <w:r>
              <w:rPr>
                <w:sz w:val="20"/>
              </w:rPr>
              <w:t xml:space="preserve">1057</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1057,0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12 3 2999</w:t>
            </w:r>
          </w:p>
        </w:tc>
        <w:tc>
          <w:tcPr>
            <w:tcW w:w="604" w:type="dxa"/>
            <w:vAlign w:val="center"/>
          </w:tcPr>
          <w:p>
            <w:pPr>
              <w:pStyle w:val="0"/>
              <w:jc w:val="center"/>
            </w:pPr>
            <w:r>
              <w:rPr>
                <w:sz w:val="20"/>
              </w:rPr>
              <w:t xml:space="preserve">200</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1228</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1228,0</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12 3 01 29990</w:t>
            </w:r>
          </w:p>
        </w:tc>
        <w:tc>
          <w:tcPr>
            <w:tcW w:w="604" w:type="dxa"/>
            <w:vAlign w:val="center"/>
          </w:tcPr>
          <w:p>
            <w:pPr>
              <w:pStyle w:val="0"/>
              <w:jc w:val="center"/>
            </w:pPr>
            <w:r>
              <w:rPr>
                <w:sz w:val="20"/>
              </w:rPr>
              <w:t xml:space="preserve">200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1141,0</w:t>
            </w:r>
          </w:p>
        </w:tc>
        <w:tc>
          <w:tcPr>
            <w:tcW w:w="844" w:type="dxa"/>
            <w:vAlign w:val="center"/>
          </w:tcPr>
          <w:p>
            <w:pPr>
              <w:pStyle w:val="0"/>
              <w:jc w:val="center"/>
            </w:pPr>
            <w:r>
              <w:rPr>
                <w:sz w:val="20"/>
              </w:rPr>
              <w:t xml:space="preserve">670</w:t>
            </w:r>
          </w:p>
        </w:tc>
        <w:tc>
          <w:tcPr>
            <w:tcW w:w="844" w:type="dxa"/>
            <w:vAlign w:val="center"/>
          </w:tcPr>
          <w:p>
            <w:pPr>
              <w:pStyle w:val="0"/>
              <w:jc w:val="center"/>
            </w:pPr>
            <w:r>
              <w:rPr>
                <w:sz w:val="20"/>
              </w:rPr>
              <w:t xml:space="preserve">2325</w:t>
            </w:r>
          </w:p>
        </w:tc>
        <w:tc>
          <w:tcPr>
            <w:tcW w:w="1024" w:type="dxa"/>
            <w:vAlign w:val="center"/>
          </w:tcPr>
          <w:p>
            <w:pPr>
              <w:pStyle w:val="0"/>
              <w:jc w:val="center"/>
            </w:pPr>
            <w:r>
              <w:rPr>
                <w:sz w:val="20"/>
              </w:rPr>
              <w:t xml:space="preserve">2325,0</w:t>
            </w:r>
          </w:p>
        </w:tc>
        <w:tc>
          <w:tcPr>
            <w:tcW w:w="1024" w:type="dxa"/>
            <w:vAlign w:val="center"/>
          </w:tcPr>
          <w:p>
            <w:pPr>
              <w:pStyle w:val="0"/>
              <w:jc w:val="center"/>
            </w:pPr>
            <w:r>
              <w:rPr>
                <w:sz w:val="20"/>
              </w:rPr>
              <w:t xml:space="preserve">378,1</w:t>
            </w:r>
          </w:p>
        </w:tc>
        <w:tc>
          <w:tcPr>
            <w:tcW w:w="1144" w:type="dxa"/>
            <w:vAlign w:val="center"/>
          </w:tcPr>
          <w:p>
            <w:pPr>
              <w:pStyle w:val="0"/>
              <w:jc w:val="center"/>
            </w:pPr>
            <w:r>
              <w:rPr>
                <w:sz w:val="20"/>
              </w:rPr>
              <w:t xml:space="preserve">6839,1</w:t>
            </w:r>
          </w:p>
        </w:tc>
      </w:tr>
      <w:tr>
        <w:tc>
          <w:tcPr>
            <w:tcW w:w="1849" w:type="dxa"/>
            <w:vAlign w:val="center"/>
          </w:tcPr>
          <w:p>
            <w:pPr>
              <w:pStyle w:val="0"/>
              <w:jc w:val="center"/>
            </w:pPr>
            <w:r>
              <w:rPr>
                <w:sz w:val="20"/>
              </w:rPr>
              <w:t xml:space="preserve">Основное мероприятие 3.2</w:t>
            </w:r>
          </w:p>
        </w:tc>
        <w:tc>
          <w:tcPr>
            <w:tcW w:w="2314" w:type="dxa"/>
            <w:vAlign w:val="center"/>
          </w:tcPr>
          <w:p>
            <w:pPr>
              <w:pStyle w:val="0"/>
              <w:jc w:val="center"/>
            </w:pPr>
            <w:r>
              <w:rPr>
                <w:sz w:val="20"/>
              </w:rPr>
              <w:t xml:space="preserve">Субсидии на разработку научно обоснованных проектов бассейнового природопользования</w:t>
            </w: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12 3 7375</w:t>
            </w:r>
          </w:p>
        </w:tc>
        <w:tc>
          <w:tcPr>
            <w:tcW w:w="604" w:type="dxa"/>
            <w:vAlign w:val="center"/>
          </w:tcPr>
          <w:p>
            <w:pPr>
              <w:pStyle w:val="0"/>
              <w:jc w:val="center"/>
            </w:pPr>
            <w:r>
              <w:rPr>
                <w:sz w:val="20"/>
              </w:rPr>
              <w:t xml:space="preserve">530</w:t>
            </w:r>
          </w:p>
        </w:tc>
        <w:tc>
          <w:tcPr>
            <w:tcW w:w="844" w:type="dxa"/>
            <w:vAlign w:val="center"/>
          </w:tcPr>
          <w:p>
            <w:pPr>
              <w:pStyle w:val="0"/>
              <w:jc w:val="center"/>
            </w:pPr>
            <w:r>
              <w:rPr>
                <w:sz w:val="20"/>
              </w:rPr>
              <w:t xml:space="preserve">483</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483,0</w:t>
            </w:r>
          </w:p>
        </w:tc>
      </w:tr>
      <w:tr>
        <w:tc>
          <w:tcPr>
            <w:tcW w:w="1849" w:type="dxa"/>
            <w:vAlign w:val="center"/>
            <w:vMerge w:val="restart"/>
          </w:tcPr>
          <w:p>
            <w:pPr>
              <w:pStyle w:val="0"/>
              <w:jc w:val="center"/>
            </w:pPr>
            <w:r>
              <w:rPr>
                <w:sz w:val="20"/>
              </w:rPr>
              <w:t xml:space="preserve">Основное мероприятие 3.3</w:t>
            </w:r>
          </w:p>
        </w:tc>
        <w:tc>
          <w:tcPr>
            <w:tcW w:w="2314" w:type="dxa"/>
            <w:vAlign w:val="center"/>
            <w:vMerge w:val="restart"/>
          </w:tcPr>
          <w:p>
            <w:pPr>
              <w:pStyle w:val="0"/>
              <w:jc w:val="center"/>
            </w:pPr>
            <w:r>
              <w:rPr>
                <w:sz w:val="20"/>
              </w:rPr>
              <w:t xml:space="preserve">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12 3 7376</w:t>
            </w:r>
          </w:p>
        </w:tc>
        <w:tc>
          <w:tcPr>
            <w:tcW w:w="604" w:type="dxa"/>
            <w:vAlign w:val="center"/>
          </w:tcPr>
          <w:p>
            <w:pPr>
              <w:pStyle w:val="0"/>
              <w:jc w:val="center"/>
            </w:pPr>
            <w:r>
              <w:rPr>
                <w:sz w:val="20"/>
              </w:rPr>
              <w:t xml:space="preserve">530</w:t>
            </w:r>
          </w:p>
        </w:tc>
        <w:tc>
          <w:tcPr>
            <w:tcW w:w="844" w:type="dxa"/>
            <w:vAlign w:val="center"/>
          </w:tcPr>
          <w:p>
            <w:pPr>
              <w:pStyle w:val="0"/>
              <w:jc w:val="center"/>
            </w:pPr>
            <w:r>
              <w:rPr>
                <w:sz w:val="20"/>
              </w:rPr>
              <w:t xml:space="preserve">3454</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3454,0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12 3 7376</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3070</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3070,0</w:t>
            </w:r>
          </w:p>
        </w:tc>
      </w:tr>
      <w:tr>
        <w:tc>
          <w:tcPr>
            <w:vMerge w:val="continue"/>
          </w:tcPr>
          <w:p/>
        </w:tc>
        <w:tc>
          <w:tcPr>
            <w:vMerge w:val="continue"/>
          </w:tcPr>
          <w:p/>
        </w:tc>
        <w:tc>
          <w:tcPr>
            <w:tcW w:w="283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603</w:t>
            </w:r>
          </w:p>
        </w:tc>
        <w:tc>
          <w:tcPr>
            <w:tcW w:w="1134" w:type="dxa"/>
            <w:vAlign w:val="center"/>
          </w:tcPr>
          <w:p>
            <w:pPr>
              <w:pStyle w:val="0"/>
              <w:jc w:val="center"/>
            </w:pPr>
            <w:r>
              <w:rPr>
                <w:sz w:val="20"/>
              </w:rPr>
              <w:t xml:space="preserve">12 3 03 73760</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2692,0</w:t>
            </w:r>
          </w:p>
        </w:tc>
        <w:tc>
          <w:tcPr>
            <w:tcW w:w="844" w:type="dxa"/>
            <w:vAlign w:val="center"/>
          </w:tcPr>
          <w:p>
            <w:pPr>
              <w:pStyle w:val="0"/>
              <w:jc w:val="center"/>
            </w:pPr>
            <w:r>
              <w:rPr>
                <w:sz w:val="20"/>
              </w:rPr>
              <w:t xml:space="preserve">2722</w:t>
            </w:r>
          </w:p>
        </w:tc>
        <w:tc>
          <w:tcPr>
            <w:tcW w:w="844" w:type="dxa"/>
            <w:vAlign w:val="center"/>
          </w:tcPr>
          <w:p>
            <w:pPr>
              <w:pStyle w:val="0"/>
              <w:jc w:val="center"/>
            </w:pPr>
            <w:r>
              <w:rPr>
                <w:sz w:val="20"/>
              </w:rPr>
              <w:t xml:space="preserve">1645</w:t>
            </w:r>
          </w:p>
        </w:tc>
        <w:tc>
          <w:tcPr>
            <w:tcW w:w="1024" w:type="dxa"/>
            <w:vAlign w:val="center"/>
          </w:tcPr>
          <w:p>
            <w:pPr>
              <w:pStyle w:val="0"/>
              <w:jc w:val="center"/>
            </w:pPr>
            <w:r>
              <w:rPr>
                <w:sz w:val="20"/>
              </w:rPr>
              <w:t xml:space="preserve">2863,0</w:t>
            </w:r>
          </w:p>
        </w:tc>
        <w:tc>
          <w:tcPr>
            <w:tcW w:w="1024" w:type="dxa"/>
            <w:vAlign w:val="center"/>
          </w:tcPr>
          <w:p>
            <w:pPr>
              <w:pStyle w:val="0"/>
              <w:jc w:val="center"/>
            </w:pPr>
            <w:r>
              <w:rPr>
                <w:sz w:val="20"/>
              </w:rPr>
              <w:t xml:space="preserve">3610,0</w:t>
            </w:r>
          </w:p>
        </w:tc>
        <w:tc>
          <w:tcPr>
            <w:tcW w:w="1144" w:type="dxa"/>
            <w:vAlign w:val="center"/>
          </w:tcPr>
          <w:p>
            <w:pPr>
              <w:pStyle w:val="0"/>
              <w:jc w:val="center"/>
            </w:pPr>
            <w:r>
              <w:rPr>
                <w:sz w:val="20"/>
              </w:rPr>
              <w:t xml:space="preserve">13532,0</w:t>
            </w:r>
          </w:p>
        </w:tc>
      </w:tr>
      <w:tr>
        <w:tc>
          <w:tcPr>
            <w:tcW w:w="1849" w:type="dxa"/>
            <w:vAlign w:val="center"/>
          </w:tcPr>
          <w:p>
            <w:pPr>
              <w:pStyle w:val="0"/>
              <w:jc w:val="center"/>
            </w:pPr>
            <w:r>
              <w:rPr>
                <w:sz w:val="20"/>
              </w:rPr>
              <w:t xml:space="preserve">Основное мероприятие 3.4</w:t>
            </w:r>
          </w:p>
        </w:tc>
        <w:tc>
          <w:tcPr>
            <w:tcW w:w="2314" w:type="dxa"/>
            <w:vAlign w:val="center"/>
          </w:tcPr>
          <w:p>
            <w:pPr>
              <w:pStyle w:val="0"/>
              <w:jc w:val="center"/>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605</w:t>
            </w:r>
          </w:p>
        </w:tc>
        <w:tc>
          <w:tcPr>
            <w:tcW w:w="1134" w:type="dxa"/>
            <w:vAlign w:val="center"/>
          </w:tcPr>
          <w:p>
            <w:pPr>
              <w:pStyle w:val="0"/>
              <w:jc w:val="center"/>
            </w:pPr>
            <w:r>
              <w:rPr>
                <w:sz w:val="20"/>
              </w:rPr>
              <w:t xml:space="preserve">12 3 04 71410</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17121</w:t>
            </w:r>
          </w:p>
        </w:tc>
        <w:tc>
          <w:tcPr>
            <w:tcW w:w="1024" w:type="dxa"/>
            <w:vAlign w:val="center"/>
          </w:tcPr>
          <w:p>
            <w:pPr>
              <w:pStyle w:val="0"/>
              <w:jc w:val="center"/>
            </w:pPr>
            <w:r>
              <w:rPr>
                <w:sz w:val="20"/>
              </w:rPr>
              <w:t xml:space="preserve">8039,0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25160,0</w:t>
            </w:r>
          </w:p>
        </w:tc>
      </w:tr>
      <w:tr>
        <w:tc>
          <w:tcPr>
            <w:tcW w:w="1849" w:type="dxa"/>
            <w:vAlign w:val="center"/>
            <w:vMerge w:val="restart"/>
          </w:tcPr>
          <w:p>
            <w:pPr>
              <w:pStyle w:val="0"/>
              <w:jc w:val="center"/>
            </w:pPr>
            <w:r>
              <w:rPr>
                <w:sz w:val="20"/>
              </w:rPr>
              <w:t xml:space="preserve">Подпрограмма 4</w:t>
            </w:r>
          </w:p>
        </w:tc>
        <w:tc>
          <w:tcPr>
            <w:tcW w:w="2314" w:type="dxa"/>
            <w:vAlign w:val="center"/>
            <w:vMerge w:val="restart"/>
          </w:tcPr>
          <w:p>
            <w:pPr>
              <w:pStyle w:val="0"/>
              <w:jc w:val="center"/>
            </w:pPr>
            <w:r>
              <w:rPr>
                <w:sz w:val="20"/>
              </w:rPr>
              <w:t xml:space="preserve">Сохранение, воспроизводство и использование животного мира</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1165</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9713,3</w:t>
            </w:r>
          </w:p>
        </w:tc>
        <w:tc>
          <w:tcPr>
            <w:tcW w:w="1144" w:type="dxa"/>
            <w:vAlign w:val="center"/>
          </w:tcPr>
          <w:p>
            <w:pPr>
              <w:pStyle w:val="0"/>
              <w:jc w:val="center"/>
            </w:pPr>
            <w:r>
              <w:rPr>
                <w:sz w:val="20"/>
              </w:rPr>
              <w:t xml:space="preserve">10878,3</w:t>
            </w:r>
          </w:p>
        </w:tc>
      </w:tr>
      <w:tr>
        <w:tc>
          <w:tcPr>
            <w:vMerge w:val="continue"/>
          </w:tcPr>
          <w:p/>
        </w:tc>
        <w:tc>
          <w:tcPr>
            <w:vMerge w:val="continue"/>
          </w:tcP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1165</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9713,3</w:t>
            </w:r>
          </w:p>
        </w:tc>
        <w:tc>
          <w:tcPr>
            <w:tcW w:w="1144" w:type="dxa"/>
            <w:vAlign w:val="center"/>
          </w:tcPr>
          <w:p>
            <w:pPr>
              <w:pStyle w:val="0"/>
              <w:jc w:val="center"/>
            </w:pPr>
            <w:r>
              <w:rPr>
                <w:sz w:val="20"/>
              </w:rPr>
              <w:t xml:space="preserve">10878,3</w:t>
            </w:r>
          </w:p>
        </w:tc>
      </w:tr>
      <w:tr>
        <w:tc>
          <w:tcPr>
            <w:tcW w:w="1849" w:type="dxa"/>
            <w:vAlign w:val="center"/>
          </w:tcPr>
          <w:p>
            <w:pPr>
              <w:pStyle w:val="0"/>
              <w:jc w:val="center"/>
            </w:pPr>
            <w:r>
              <w:rPr>
                <w:sz w:val="20"/>
              </w:rPr>
              <w:t xml:space="preserve">Основное мероприятие 4.2</w:t>
            </w:r>
          </w:p>
        </w:tc>
        <w:tc>
          <w:tcPr>
            <w:tcW w:w="2314" w:type="dxa"/>
            <w:vAlign w:val="center"/>
          </w:tcPr>
          <w:p>
            <w:pPr>
              <w:pStyle w:val="0"/>
              <w:jc w:val="center"/>
            </w:pPr>
            <w:r>
              <w:rPr>
                <w:sz w:val="20"/>
              </w:rPr>
              <w:t xml:space="preserve">Сохранение, воспроизводство и использование животного мира</w:t>
            </w: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0603</w:t>
            </w:r>
          </w:p>
        </w:tc>
        <w:tc>
          <w:tcPr>
            <w:tcW w:w="1134" w:type="dxa"/>
            <w:vAlign w:val="center"/>
          </w:tcPr>
          <w:p>
            <w:pPr>
              <w:pStyle w:val="0"/>
              <w:jc w:val="center"/>
            </w:pPr>
            <w:r>
              <w:rPr>
                <w:sz w:val="20"/>
              </w:rPr>
              <w:t xml:space="preserve">12 4 2999</w:t>
            </w:r>
          </w:p>
        </w:tc>
        <w:tc>
          <w:tcPr>
            <w:tcW w:w="604" w:type="dxa"/>
            <w:vAlign w:val="center"/>
          </w:tcPr>
          <w:p>
            <w:pPr>
              <w:pStyle w:val="0"/>
              <w:jc w:val="center"/>
            </w:pPr>
            <w:r>
              <w:rPr>
                <w:sz w:val="20"/>
              </w:rPr>
              <w:t xml:space="preserve">244</w:t>
            </w:r>
          </w:p>
        </w:tc>
        <w:tc>
          <w:tcPr>
            <w:tcW w:w="844" w:type="dxa"/>
            <w:vAlign w:val="center"/>
          </w:tcPr>
          <w:p>
            <w:pPr>
              <w:pStyle w:val="0"/>
              <w:jc w:val="center"/>
            </w:pPr>
            <w:r>
              <w:rPr>
                <w:sz w:val="20"/>
              </w:rPr>
              <w:t xml:space="preserve">1165</w:t>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1165,0</w:t>
            </w:r>
          </w:p>
        </w:tc>
      </w:tr>
      <w:tr>
        <w:tc>
          <w:tcPr>
            <w:tcW w:w="1849" w:type="dxa"/>
            <w:vAlign w:val="center"/>
          </w:tcPr>
          <w:p>
            <w:pPr>
              <w:pStyle w:val="0"/>
              <w:jc w:val="center"/>
            </w:pPr>
            <w:r>
              <w:rPr>
                <w:sz w:val="20"/>
              </w:rPr>
              <w:t xml:space="preserve">Основное мероприятие 4.3</w:t>
            </w:r>
          </w:p>
        </w:tc>
        <w:tc>
          <w:tcPr>
            <w:tcW w:w="2314" w:type="dxa"/>
            <w:vAlign w:val="center"/>
          </w:tcPr>
          <w:p>
            <w:pPr>
              <w:pStyle w:val="0"/>
              <w:jc w:val="center"/>
            </w:pPr>
            <w:r>
              <w:rPr>
                <w:sz w:val="20"/>
              </w:rPr>
              <w:t xml:space="preserve">Осуществление переданных органам государственной власти субъектов Российской Федерации в соответствии с </w:t>
            </w:r>
            <w:hyperlink w:history="0" r:id="rId211"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законодательный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0603</w:t>
            </w:r>
          </w:p>
        </w:tc>
        <w:tc>
          <w:tcPr>
            <w:tcW w:w="1134" w:type="dxa"/>
            <w:vAlign w:val="center"/>
          </w:tcPr>
          <w:p>
            <w:pPr>
              <w:pStyle w:val="0"/>
              <w:jc w:val="center"/>
            </w:pPr>
            <w:r>
              <w:rPr>
                <w:sz w:val="20"/>
              </w:rPr>
              <w:t xml:space="preserve">12 4 0459700</w:t>
            </w:r>
          </w:p>
        </w:tc>
        <w:tc>
          <w:tcPr>
            <w:tcW w:w="604" w:type="dxa"/>
            <w:vAlign w:val="center"/>
          </w:tcPr>
          <w:p>
            <w:pPr>
              <w:pStyle w:val="0"/>
              <w:jc w:val="center"/>
            </w:pPr>
            <w:r>
              <w:rPr>
                <w:sz w:val="20"/>
              </w:rPr>
              <w:t xml:space="preserve">100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9557,5</w:t>
            </w:r>
          </w:p>
        </w:tc>
        <w:tc>
          <w:tcPr>
            <w:tcW w:w="1144" w:type="dxa"/>
            <w:vAlign w:val="center"/>
          </w:tcPr>
          <w:p>
            <w:pPr>
              <w:pStyle w:val="0"/>
              <w:jc w:val="center"/>
            </w:pPr>
            <w:r>
              <w:rPr>
                <w:sz w:val="20"/>
              </w:rPr>
              <w:t xml:space="preserve">9557,5</w:t>
            </w:r>
          </w:p>
        </w:tc>
      </w:tr>
      <w:tr>
        <w:tc>
          <w:tcPr>
            <w:tcW w:w="1849" w:type="dxa"/>
            <w:vAlign w:val="center"/>
          </w:tcPr>
          <w:p>
            <w:pPr>
              <w:pStyle w:val="0"/>
              <w:jc w:val="center"/>
            </w:pPr>
            <w:r>
              <w:rPr>
                <w:sz w:val="20"/>
              </w:rPr>
              <w:t xml:space="preserve">Основное мероприятие 4.4</w:t>
            </w:r>
          </w:p>
        </w:tc>
        <w:tc>
          <w:tcPr>
            <w:tcW w:w="2314" w:type="dxa"/>
            <w:vAlign w:val="center"/>
          </w:tcPr>
          <w:p>
            <w:pPr>
              <w:pStyle w:val="0"/>
              <w:jc w:val="center"/>
            </w:pPr>
            <w:r>
              <w:rPr>
                <w:sz w:val="20"/>
              </w:rPr>
              <w:t xml:space="preserve">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0603</w:t>
            </w:r>
          </w:p>
        </w:tc>
        <w:tc>
          <w:tcPr>
            <w:tcW w:w="1134" w:type="dxa"/>
            <w:vAlign w:val="center"/>
          </w:tcPr>
          <w:p>
            <w:pPr>
              <w:pStyle w:val="0"/>
              <w:jc w:val="center"/>
            </w:pPr>
            <w:r>
              <w:rPr>
                <w:sz w:val="20"/>
              </w:rPr>
              <w:t xml:space="preserve">12 4 0559200</w:t>
            </w:r>
          </w:p>
        </w:tc>
        <w:tc>
          <w:tcPr>
            <w:tcW w:w="604" w:type="dxa"/>
            <w:vAlign w:val="center"/>
          </w:tcPr>
          <w:p>
            <w:pPr>
              <w:pStyle w:val="0"/>
              <w:jc w:val="center"/>
            </w:pPr>
            <w:r>
              <w:rPr>
                <w:sz w:val="20"/>
              </w:rPr>
              <w:t xml:space="preserve">244</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155,8</w:t>
            </w:r>
          </w:p>
        </w:tc>
        <w:tc>
          <w:tcPr>
            <w:tcW w:w="1144" w:type="dxa"/>
            <w:vAlign w:val="center"/>
          </w:tcPr>
          <w:p>
            <w:pPr>
              <w:pStyle w:val="0"/>
              <w:jc w:val="center"/>
            </w:pPr>
            <w:r>
              <w:rPr>
                <w:sz w:val="20"/>
              </w:rPr>
              <w:t xml:space="preserve">155,8</w:t>
            </w:r>
          </w:p>
        </w:tc>
      </w:tr>
      <w:tr>
        <w:tc>
          <w:tcPr>
            <w:tcW w:w="1849" w:type="dxa"/>
            <w:vAlign w:val="center"/>
            <w:vMerge w:val="restart"/>
          </w:tcPr>
          <w:p>
            <w:pPr>
              <w:pStyle w:val="0"/>
              <w:jc w:val="center"/>
            </w:pPr>
            <w:r>
              <w:rPr>
                <w:sz w:val="20"/>
              </w:rPr>
              <w:t xml:space="preserve">Подпрограмма 5</w:t>
            </w:r>
          </w:p>
        </w:tc>
        <w:tc>
          <w:tcPr>
            <w:tcW w:w="2314" w:type="dxa"/>
            <w:vAlign w:val="center"/>
            <w:vMerge w:val="restart"/>
          </w:tcPr>
          <w:p>
            <w:pPr>
              <w:pStyle w:val="0"/>
              <w:jc w:val="center"/>
            </w:pPr>
            <w:r>
              <w:rPr>
                <w:sz w:val="20"/>
              </w:rPr>
              <w:t xml:space="preserve">Любительское рыболовство и охрана водных биоресурсов</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240</w:t>
            </w:r>
          </w:p>
        </w:tc>
        <w:tc>
          <w:tcPr>
            <w:tcW w:w="844" w:type="dxa"/>
            <w:vAlign w:val="center"/>
          </w:tcPr>
          <w:p>
            <w:pPr>
              <w:pStyle w:val="0"/>
              <w:jc w:val="center"/>
            </w:pPr>
            <w:r>
              <w:rPr>
                <w:sz w:val="20"/>
              </w:rPr>
              <w:t xml:space="preserve">240</w:t>
            </w:r>
          </w:p>
        </w:tc>
        <w:tc>
          <w:tcPr>
            <w:tcW w:w="1024" w:type="dxa"/>
            <w:vAlign w:val="center"/>
          </w:tcPr>
          <w:p>
            <w:pPr>
              <w:pStyle w:val="0"/>
              <w:jc w:val="center"/>
            </w:pPr>
            <w:r>
              <w:rPr>
                <w:sz w:val="20"/>
              </w:rPr>
              <w:t xml:space="preserve">240,0</w:t>
            </w:r>
          </w:p>
        </w:tc>
        <w:tc>
          <w:tcPr>
            <w:tcW w:w="844" w:type="dxa"/>
            <w:vAlign w:val="center"/>
          </w:tcPr>
          <w:p>
            <w:pPr>
              <w:pStyle w:val="0"/>
              <w:jc w:val="center"/>
            </w:pPr>
            <w:r>
              <w:rPr>
                <w:sz w:val="20"/>
              </w:rPr>
              <w:t xml:space="preserve">96</w:t>
            </w:r>
          </w:p>
        </w:tc>
        <w:tc>
          <w:tcPr>
            <w:tcW w:w="8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96,0</w:t>
            </w:r>
          </w:p>
        </w:tc>
        <w:tc>
          <w:tcPr>
            <w:tcW w:w="1024" w:type="dxa"/>
            <w:vAlign w:val="center"/>
          </w:tcPr>
          <w:p>
            <w:pPr>
              <w:pStyle w:val="0"/>
              <w:jc w:val="center"/>
            </w:pPr>
            <w:r>
              <w:rPr>
                <w:sz w:val="20"/>
              </w:rPr>
              <w:t xml:space="preserve">123,5</w:t>
            </w:r>
          </w:p>
        </w:tc>
        <w:tc>
          <w:tcPr>
            <w:tcW w:w="1144" w:type="dxa"/>
            <w:vAlign w:val="center"/>
          </w:tcPr>
          <w:p>
            <w:pPr>
              <w:pStyle w:val="0"/>
              <w:jc w:val="center"/>
            </w:pPr>
            <w:r>
              <w:rPr>
                <w:sz w:val="20"/>
              </w:rPr>
              <w:t xml:space="preserve">1131,5</w:t>
            </w:r>
          </w:p>
        </w:tc>
      </w:tr>
      <w:tr>
        <w:tc>
          <w:tcPr>
            <w:vMerge w:val="continue"/>
          </w:tcPr>
          <w:p/>
        </w:tc>
        <w:tc>
          <w:tcPr>
            <w:vMerge w:val="continue"/>
          </w:tcP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240</w:t>
            </w:r>
          </w:p>
        </w:tc>
        <w:tc>
          <w:tcPr>
            <w:tcW w:w="844" w:type="dxa"/>
            <w:vAlign w:val="center"/>
          </w:tcPr>
          <w:p>
            <w:pPr>
              <w:pStyle w:val="0"/>
              <w:jc w:val="center"/>
            </w:pPr>
            <w:r>
              <w:rPr>
                <w:sz w:val="20"/>
              </w:rPr>
              <w:t xml:space="preserve">240</w:t>
            </w:r>
          </w:p>
        </w:tc>
        <w:tc>
          <w:tcPr>
            <w:tcW w:w="1024" w:type="dxa"/>
            <w:vAlign w:val="center"/>
          </w:tcPr>
          <w:p>
            <w:pPr>
              <w:pStyle w:val="0"/>
              <w:jc w:val="center"/>
            </w:pPr>
            <w:r>
              <w:rPr>
                <w:sz w:val="20"/>
              </w:rPr>
              <w:t xml:space="preserve">240,0</w:t>
            </w:r>
          </w:p>
        </w:tc>
        <w:tc>
          <w:tcPr>
            <w:tcW w:w="844" w:type="dxa"/>
            <w:vAlign w:val="center"/>
          </w:tcPr>
          <w:p>
            <w:pPr>
              <w:pStyle w:val="0"/>
              <w:jc w:val="center"/>
            </w:pPr>
            <w:r>
              <w:rPr>
                <w:sz w:val="20"/>
              </w:rPr>
              <w:t xml:space="preserve">96</w:t>
            </w:r>
          </w:p>
        </w:tc>
        <w:tc>
          <w:tcPr>
            <w:tcW w:w="8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w:t>
            </w:r>
          </w:p>
        </w:tc>
        <w:tc>
          <w:tcPr>
            <w:tcW w:w="1024" w:type="dxa"/>
            <w:vAlign w:val="center"/>
          </w:tcPr>
          <w:p>
            <w:pPr>
              <w:pStyle w:val="0"/>
              <w:jc w:val="center"/>
            </w:pPr>
            <w:r>
              <w:rPr>
                <w:sz w:val="20"/>
              </w:rPr>
              <w:t xml:space="preserve">123,5</w:t>
            </w:r>
          </w:p>
        </w:tc>
        <w:tc>
          <w:tcPr>
            <w:tcW w:w="1144" w:type="dxa"/>
            <w:vAlign w:val="center"/>
          </w:tcPr>
          <w:p>
            <w:pPr>
              <w:pStyle w:val="0"/>
              <w:jc w:val="center"/>
            </w:pPr>
            <w:r>
              <w:rPr>
                <w:sz w:val="20"/>
              </w:rPr>
              <w:t xml:space="preserve">1131,5</w:t>
            </w:r>
          </w:p>
        </w:tc>
      </w:tr>
      <w:tr>
        <w:tc>
          <w:tcPr>
            <w:tcW w:w="1849" w:type="dxa"/>
            <w:vAlign w:val="center"/>
          </w:tcPr>
          <w:p>
            <w:pPr>
              <w:pStyle w:val="0"/>
              <w:jc w:val="center"/>
            </w:pPr>
            <w:r>
              <w:rPr>
                <w:sz w:val="20"/>
              </w:rPr>
              <w:t xml:space="preserve">Основное мероприятие 5.1</w:t>
            </w:r>
          </w:p>
        </w:tc>
        <w:tc>
          <w:tcPr>
            <w:tcW w:w="2314" w:type="dxa"/>
            <w:vAlign w:val="center"/>
          </w:tcPr>
          <w:p>
            <w:pPr>
              <w:pStyle w:val="0"/>
              <w:jc w:val="center"/>
            </w:pPr>
            <w:r>
              <w:rPr>
                <w:sz w:val="20"/>
              </w:rPr>
              <w:t xml:space="preserve">Организация, регулирование и охрана водных биологических ресурсов на территории Белгородской области</w:t>
            </w: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0405</w:t>
            </w:r>
          </w:p>
        </w:tc>
        <w:tc>
          <w:tcPr>
            <w:tcW w:w="1134" w:type="dxa"/>
            <w:vAlign w:val="center"/>
          </w:tcPr>
          <w:p>
            <w:pPr>
              <w:pStyle w:val="0"/>
              <w:jc w:val="center"/>
            </w:pPr>
            <w:r>
              <w:rPr>
                <w:sz w:val="20"/>
              </w:rPr>
              <w:t xml:space="preserve">12 5 0159100</w:t>
            </w:r>
          </w:p>
        </w:tc>
        <w:tc>
          <w:tcPr>
            <w:tcW w:w="604" w:type="dxa"/>
            <w:vAlign w:val="center"/>
          </w:tcPr>
          <w:p>
            <w:pPr>
              <w:pStyle w:val="0"/>
              <w:jc w:val="center"/>
            </w:pPr>
            <w:r>
              <w:rPr>
                <w:sz w:val="20"/>
              </w:rPr>
              <w:t xml:space="preserve">244</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27,5</w:t>
            </w:r>
          </w:p>
        </w:tc>
        <w:tc>
          <w:tcPr>
            <w:tcW w:w="1144" w:type="dxa"/>
            <w:vAlign w:val="center"/>
          </w:tcPr>
          <w:p>
            <w:pPr>
              <w:pStyle w:val="0"/>
              <w:jc w:val="center"/>
            </w:pPr>
            <w:r>
              <w:rPr>
                <w:sz w:val="20"/>
              </w:rPr>
              <w:t xml:space="preserve">27,5</w:t>
            </w:r>
          </w:p>
        </w:tc>
      </w:tr>
      <w:tr>
        <w:tc>
          <w:tcPr>
            <w:tcW w:w="1849" w:type="dxa"/>
            <w:vAlign w:val="center"/>
          </w:tcPr>
          <w:p>
            <w:pPr>
              <w:pStyle w:val="0"/>
              <w:jc w:val="center"/>
            </w:pPr>
            <w:r>
              <w:rPr>
                <w:sz w:val="20"/>
              </w:rPr>
              <w:t xml:space="preserve">Основное мероприятие 5.2</w:t>
            </w:r>
          </w:p>
        </w:tc>
        <w:tc>
          <w:tcPr>
            <w:tcW w:w="2314" w:type="dxa"/>
            <w:vAlign w:val="center"/>
          </w:tcPr>
          <w:p>
            <w:pPr>
              <w:pStyle w:val="0"/>
              <w:jc w:val="center"/>
            </w:pPr>
            <w:r>
              <w:rPr>
                <w:sz w:val="20"/>
              </w:rPr>
              <w:t xml:space="preserve">Поддержка любительского рыболовства и охрана водных биоресурсов на территории Белгородской области</w:t>
            </w: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0405</w:t>
            </w:r>
          </w:p>
        </w:tc>
        <w:tc>
          <w:tcPr>
            <w:tcW w:w="1134" w:type="dxa"/>
            <w:vAlign w:val="center"/>
          </w:tcPr>
          <w:p>
            <w:pPr>
              <w:pStyle w:val="0"/>
              <w:jc w:val="center"/>
            </w:pPr>
            <w:r>
              <w:rPr>
                <w:sz w:val="20"/>
              </w:rPr>
              <w:t xml:space="preserve">12 5 0229990</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240</w:t>
            </w:r>
          </w:p>
        </w:tc>
        <w:tc>
          <w:tcPr>
            <w:tcW w:w="844" w:type="dxa"/>
            <w:vAlign w:val="center"/>
          </w:tcPr>
          <w:p>
            <w:pPr>
              <w:pStyle w:val="0"/>
              <w:jc w:val="center"/>
            </w:pPr>
            <w:r>
              <w:rPr>
                <w:sz w:val="20"/>
              </w:rPr>
              <w:t xml:space="preserve">240</w:t>
            </w:r>
          </w:p>
        </w:tc>
        <w:tc>
          <w:tcPr>
            <w:tcW w:w="1024" w:type="dxa"/>
            <w:vAlign w:val="center"/>
          </w:tcPr>
          <w:p>
            <w:pPr>
              <w:pStyle w:val="0"/>
              <w:jc w:val="center"/>
            </w:pPr>
            <w:r>
              <w:rPr>
                <w:sz w:val="20"/>
              </w:rPr>
              <w:t xml:space="preserve">240,0</w:t>
            </w:r>
          </w:p>
        </w:tc>
        <w:tc>
          <w:tcPr>
            <w:tcW w:w="844" w:type="dxa"/>
            <w:vAlign w:val="center"/>
          </w:tcPr>
          <w:p>
            <w:pPr>
              <w:pStyle w:val="0"/>
              <w:jc w:val="center"/>
            </w:pPr>
            <w:r>
              <w:rPr>
                <w:sz w:val="20"/>
              </w:rPr>
              <w:t xml:space="preserve">96</w:t>
            </w:r>
          </w:p>
        </w:tc>
        <w:tc>
          <w:tcPr>
            <w:tcW w:w="844" w:type="dxa"/>
            <w:vAlign w:val="center"/>
          </w:tcPr>
          <w:p>
            <w:pPr>
              <w:pStyle w:val="0"/>
              <w:jc w:val="center"/>
            </w:pPr>
            <w:r>
              <w:rPr>
                <w:sz w:val="20"/>
              </w:rPr>
              <w:t xml:space="preserve">96</w:t>
            </w:r>
          </w:p>
        </w:tc>
        <w:tc>
          <w:tcPr>
            <w:tcW w:w="1024" w:type="dxa"/>
            <w:vAlign w:val="center"/>
          </w:tcPr>
          <w:p>
            <w:pPr>
              <w:pStyle w:val="0"/>
              <w:jc w:val="center"/>
            </w:pPr>
            <w:r>
              <w:rPr>
                <w:sz w:val="20"/>
              </w:rPr>
              <w:t xml:space="preserve">96,0</w:t>
            </w:r>
          </w:p>
        </w:tc>
        <w:tc>
          <w:tcPr>
            <w:tcW w:w="1024" w:type="dxa"/>
            <w:vAlign w:val="center"/>
          </w:tcPr>
          <w:p>
            <w:pPr>
              <w:pStyle w:val="0"/>
              <w:jc w:val="center"/>
            </w:pPr>
            <w:r>
              <w:rPr>
                <w:sz w:val="20"/>
              </w:rPr>
              <w:t xml:space="preserve">96,0</w:t>
            </w:r>
          </w:p>
        </w:tc>
        <w:tc>
          <w:tcPr>
            <w:tcW w:w="1144" w:type="dxa"/>
            <w:vAlign w:val="center"/>
          </w:tcPr>
          <w:p>
            <w:pPr>
              <w:pStyle w:val="0"/>
              <w:jc w:val="center"/>
            </w:pPr>
            <w:r>
              <w:rPr>
                <w:sz w:val="20"/>
              </w:rPr>
              <w:t xml:space="preserve">1104,0</w:t>
            </w:r>
          </w:p>
        </w:tc>
      </w:tr>
      <w:tr>
        <w:tc>
          <w:tcPr>
            <w:tcW w:w="1849" w:type="dxa"/>
            <w:vAlign w:val="center"/>
            <w:vMerge w:val="restart"/>
          </w:tcPr>
          <w:p>
            <w:pPr>
              <w:pStyle w:val="0"/>
              <w:jc w:val="center"/>
            </w:pPr>
            <w:r>
              <w:rPr>
                <w:sz w:val="20"/>
              </w:rPr>
              <w:t xml:space="preserve">Подпрограмма 6</w:t>
            </w:r>
          </w:p>
        </w:tc>
        <w:tc>
          <w:tcPr>
            <w:tcW w:w="2314" w:type="dxa"/>
            <w:vAlign w:val="center"/>
            <w:vMerge w:val="restart"/>
          </w:tcPr>
          <w:p>
            <w:pPr>
              <w:pStyle w:val="0"/>
              <w:jc w:val="center"/>
            </w:pPr>
            <w:r>
              <w:rPr>
                <w:sz w:val="20"/>
              </w:rPr>
              <w:t xml:space="preserve">Обеспечение реализации государственной программы</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103241</w:t>
            </w:r>
          </w:p>
        </w:tc>
        <w:tc>
          <w:tcPr>
            <w:tcW w:w="844" w:type="dxa"/>
            <w:vAlign w:val="center"/>
          </w:tcPr>
          <w:p>
            <w:pPr>
              <w:pStyle w:val="0"/>
              <w:jc w:val="center"/>
            </w:pPr>
            <w:r>
              <w:rPr>
                <w:sz w:val="20"/>
              </w:rPr>
              <w:t xml:space="preserve">88785</w:t>
            </w:r>
          </w:p>
        </w:tc>
        <w:tc>
          <w:tcPr>
            <w:tcW w:w="1024" w:type="dxa"/>
            <w:vAlign w:val="center"/>
          </w:tcPr>
          <w:p>
            <w:pPr>
              <w:pStyle w:val="0"/>
              <w:jc w:val="center"/>
            </w:pPr>
            <w:r>
              <w:rPr>
                <w:sz w:val="20"/>
              </w:rPr>
              <w:t xml:space="preserve">69104,0</w:t>
            </w:r>
          </w:p>
        </w:tc>
        <w:tc>
          <w:tcPr>
            <w:tcW w:w="844" w:type="dxa"/>
            <w:vAlign w:val="center"/>
          </w:tcPr>
          <w:p>
            <w:pPr>
              <w:pStyle w:val="0"/>
              <w:jc w:val="center"/>
            </w:pPr>
            <w:r>
              <w:rPr>
                <w:sz w:val="20"/>
              </w:rPr>
              <w:t xml:space="preserve">80121</w:t>
            </w:r>
          </w:p>
        </w:tc>
        <w:tc>
          <w:tcPr>
            <w:tcW w:w="844" w:type="dxa"/>
            <w:vAlign w:val="center"/>
          </w:tcPr>
          <w:p>
            <w:pPr>
              <w:pStyle w:val="0"/>
              <w:jc w:val="center"/>
            </w:pPr>
            <w:r>
              <w:rPr>
                <w:sz w:val="20"/>
              </w:rPr>
              <w:t xml:space="preserve">107708</w:t>
            </w:r>
          </w:p>
        </w:tc>
        <w:tc>
          <w:tcPr>
            <w:tcW w:w="1024" w:type="dxa"/>
            <w:vAlign w:val="center"/>
          </w:tcPr>
          <w:p>
            <w:pPr>
              <w:pStyle w:val="0"/>
              <w:jc w:val="center"/>
            </w:pPr>
            <w:r>
              <w:rPr>
                <w:sz w:val="20"/>
              </w:rPr>
              <w:t xml:space="preserve">110499,9</w:t>
            </w:r>
          </w:p>
        </w:tc>
        <w:tc>
          <w:tcPr>
            <w:tcW w:w="1024" w:type="dxa"/>
            <w:vAlign w:val="center"/>
          </w:tcPr>
          <w:p>
            <w:pPr>
              <w:pStyle w:val="0"/>
              <w:jc w:val="center"/>
            </w:pPr>
            <w:r>
              <w:rPr>
                <w:sz w:val="20"/>
              </w:rPr>
              <w:t xml:space="preserve">102159,0</w:t>
            </w:r>
          </w:p>
        </w:tc>
        <w:tc>
          <w:tcPr>
            <w:tcW w:w="1144" w:type="dxa"/>
            <w:vAlign w:val="center"/>
          </w:tcPr>
          <w:p>
            <w:pPr>
              <w:pStyle w:val="0"/>
              <w:jc w:val="center"/>
            </w:pPr>
            <w:r>
              <w:rPr>
                <w:sz w:val="20"/>
              </w:rPr>
              <w:t xml:space="preserve">661617,9</w:t>
            </w:r>
          </w:p>
        </w:tc>
      </w:tr>
      <w:tr>
        <w:tc>
          <w:tcPr>
            <w:vMerge w:val="continue"/>
          </w:tcPr>
          <w:p/>
        </w:tc>
        <w:tc>
          <w:tcPr>
            <w:vMerge w:val="continue"/>
          </w:tcP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78326</w:t>
            </w:r>
          </w:p>
        </w:tc>
        <w:tc>
          <w:tcPr>
            <w:tcW w:w="844" w:type="dxa"/>
            <w:vAlign w:val="center"/>
          </w:tcPr>
          <w:p>
            <w:pPr>
              <w:pStyle w:val="0"/>
              <w:jc w:val="center"/>
            </w:pPr>
            <w:r>
              <w:rPr>
                <w:sz w:val="20"/>
              </w:rPr>
              <w:t xml:space="preserve">29625</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107951,0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37409</w:t>
            </w:r>
          </w:p>
        </w:tc>
        <w:tc>
          <w:tcPr>
            <w:tcW w:w="1024" w:type="dxa"/>
            <w:vAlign w:val="center"/>
          </w:tcPr>
          <w:p>
            <w:pPr>
              <w:pStyle w:val="0"/>
              <w:jc w:val="center"/>
            </w:pPr>
            <w:r>
              <w:rPr>
                <w:sz w:val="20"/>
              </w:rPr>
              <w:t xml:space="preserve">6580,0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43989,0</w:t>
            </w:r>
          </w:p>
        </w:tc>
      </w:tr>
      <w:tr>
        <w:tc>
          <w:tcPr>
            <w:vMerge w:val="continue"/>
          </w:tcPr>
          <w:p/>
        </w:tc>
        <w:tc>
          <w:tcPr>
            <w:vMerge w:val="continue"/>
          </w:tcP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24915</w:t>
            </w:r>
          </w:p>
        </w:tc>
        <w:tc>
          <w:tcPr>
            <w:tcW w:w="844" w:type="dxa"/>
            <w:vAlign w:val="center"/>
          </w:tcPr>
          <w:p>
            <w:pPr>
              <w:pStyle w:val="0"/>
              <w:jc w:val="center"/>
            </w:pPr>
            <w:r>
              <w:rPr>
                <w:sz w:val="20"/>
              </w:rPr>
              <w:t xml:space="preserve">21751</w:t>
            </w:r>
          </w:p>
        </w:tc>
        <w:tc>
          <w:tcPr>
            <w:tcW w:w="1024" w:type="dxa"/>
            <w:vAlign w:val="center"/>
          </w:tcPr>
          <w:p>
            <w:pPr>
              <w:pStyle w:val="0"/>
              <w:jc w:val="center"/>
            </w:pPr>
            <w:r>
              <w:rPr>
                <w:sz w:val="20"/>
              </w:rPr>
              <w:t xml:space="preserve">62524,0</w:t>
            </w:r>
          </w:p>
        </w:tc>
        <w:tc>
          <w:tcPr>
            <w:tcW w:w="844" w:type="dxa"/>
            <w:vAlign w:val="center"/>
          </w:tcPr>
          <w:p>
            <w:pPr>
              <w:pStyle w:val="0"/>
              <w:jc w:val="center"/>
            </w:pPr>
            <w:r>
              <w:rPr>
                <w:sz w:val="20"/>
              </w:rPr>
              <w:t xml:space="preserve">80121</w:t>
            </w:r>
          </w:p>
        </w:tc>
        <w:tc>
          <w:tcPr>
            <w:tcW w:w="844" w:type="dxa"/>
            <w:vAlign w:val="center"/>
          </w:tcPr>
          <w:p>
            <w:pPr>
              <w:pStyle w:val="0"/>
              <w:jc w:val="center"/>
            </w:pPr>
            <w:r>
              <w:rPr>
                <w:sz w:val="20"/>
              </w:rPr>
              <w:t xml:space="preserve">88647</w:t>
            </w:r>
          </w:p>
        </w:tc>
        <w:tc>
          <w:tcPr>
            <w:tcW w:w="1024" w:type="dxa"/>
            <w:vAlign w:val="center"/>
          </w:tcPr>
          <w:p>
            <w:pPr>
              <w:pStyle w:val="0"/>
              <w:jc w:val="center"/>
            </w:pPr>
            <w:r>
              <w:rPr>
                <w:sz w:val="20"/>
              </w:rPr>
              <w:t xml:space="preserve">94985</w:t>
            </w:r>
          </w:p>
        </w:tc>
        <w:tc>
          <w:tcPr>
            <w:tcW w:w="1024" w:type="dxa"/>
            <w:vAlign w:val="center"/>
          </w:tcPr>
          <w:p>
            <w:pPr>
              <w:pStyle w:val="0"/>
              <w:jc w:val="center"/>
            </w:pPr>
            <w:r>
              <w:rPr>
                <w:sz w:val="20"/>
              </w:rPr>
              <w:t xml:space="preserve">102159,0</w:t>
            </w:r>
          </w:p>
        </w:tc>
        <w:tc>
          <w:tcPr>
            <w:tcW w:w="1144" w:type="dxa"/>
            <w:vAlign w:val="center"/>
          </w:tcPr>
          <w:p>
            <w:pPr>
              <w:pStyle w:val="0"/>
              <w:jc w:val="center"/>
            </w:pPr>
            <w:r>
              <w:rPr>
                <w:sz w:val="20"/>
              </w:rPr>
              <w:t xml:space="preserve">475101,8</w:t>
            </w:r>
          </w:p>
        </w:tc>
      </w:tr>
      <w:tr>
        <w:tc>
          <w:tcPr>
            <w:vMerge w:val="continue"/>
          </w:tcPr>
          <w:p/>
        </w:tc>
        <w:tc>
          <w:tcPr>
            <w:vMerge w:val="continue"/>
          </w:tcP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12661</w:t>
            </w:r>
          </w:p>
        </w:tc>
        <w:tc>
          <w:tcPr>
            <w:tcW w:w="1024" w:type="dxa"/>
            <w:vAlign w:val="center"/>
          </w:tcPr>
          <w:p>
            <w:pPr>
              <w:pStyle w:val="0"/>
              <w:jc w:val="center"/>
            </w:pPr>
            <w:r>
              <w:rPr>
                <w:sz w:val="20"/>
              </w:rPr>
              <w:t xml:space="preserve">5515,1</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18176,1</w:t>
            </w:r>
          </w:p>
        </w:tc>
      </w:tr>
      <w:tr>
        <w:tc>
          <w:tcPr>
            <w:vMerge w:val="continue"/>
          </w:tcPr>
          <w:p/>
        </w:tc>
        <w:tc>
          <w:tcPr>
            <w:vMerge w:val="continue"/>
          </w:tcPr>
          <w:p/>
        </w:tc>
        <w:tc>
          <w:tcPr>
            <w:tcW w:w="2839" w:type="dxa"/>
            <w:vAlign w:val="center"/>
          </w:tcPr>
          <w:p>
            <w:pPr>
              <w:pStyle w:val="0"/>
              <w:jc w:val="center"/>
            </w:pPr>
            <w:r>
              <w:rPr>
                <w:sz w:val="20"/>
              </w:rPr>
              <w:t xml:space="preserve">Департамент строительства и транспорта Белгородской области</w:t>
            </w:r>
          </w:p>
        </w:tc>
        <w:tc>
          <w:tcPr>
            <w:tcW w:w="694" w:type="dxa"/>
            <w:vAlign w:val="center"/>
          </w:tcPr>
          <w:p>
            <w:pPr>
              <w:pStyle w:val="0"/>
              <w:jc w:val="center"/>
            </w:pPr>
            <w:r>
              <w:rPr>
                <w:sz w:val="20"/>
              </w:rPr>
              <w:t xml:space="preserve">807</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6400</w:t>
            </w:r>
          </w:p>
        </w:tc>
        <w:tc>
          <w:tcPr>
            <w:tcW w:w="1024" w:type="dxa"/>
            <w:vAlign w:val="center"/>
          </w:tcPr>
          <w:p>
            <w:pPr>
              <w:pStyle w:val="0"/>
              <w:jc w:val="center"/>
            </w:pPr>
            <w:r>
              <w:rPr>
                <w:sz w:val="20"/>
              </w:rPr>
              <w:t xml:space="preserve">10000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16400,0</w:t>
            </w:r>
          </w:p>
        </w:tc>
      </w:tr>
      <w:tr>
        <w:tc>
          <w:tcPr>
            <w:tcW w:w="1849" w:type="dxa"/>
            <w:vAlign w:val="center"/>
            <w:vMerge w:val="restart"/>
          </w:tcPr>
          <w:p>
            <w:pPr>
              <w:pStyle w:val="0"/>
              <w:jc w:val="center"/>
            </w:pPr>
            <w:r>
              <w:rPr>
                <w:sz w:val="20"/>
              </w:rPr>
              <w:t xml:space="preserve">Основное мероприятие 6.1</w:t>
            </w:r>
          </w:p>
        </w:tc>
        <w:tc>
          <w:tcPr>
            <w:tcW w:w="2314" w:type="dxa"/>
            <w:vAlign w:val="center"/>
            <w:vMerge w:val="restart"/>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0104</w:t>
            </w:r>
          </w:p>
        </w:tc>
        <w:tc>
          <w:tcPr>
            <w:tcW w:w="1134" w:type="dxa"/>
            <w:vAlign w:val="center"/>
          </w:tcPr>
          <w:p>
            <w:pPr>
              <w:pStyle w:val="0"/>
              <w:jc w:val="center"/>
            </w:pPr>
            <w:r>
              <w:rPr>
                <w:sz w:val="20"/>
              </w:rPr>
              <w:t xml:space="preserve">12 6 00 19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67555</w:t>
            </w:r>
          </w:p>
        </w:tc>
        <w:tc>
          <w:tcPr>
            <w:tcW w:w="844" w:type="dxa"/>
            <w:vAlign w:val="center"/>
          </w:tcPr>
          <w:p>
            <w:pPr>
              <w:pStyle w:val="0"/>
              <w:jc w:val="center"/>
            </w:pPr>
            <w:r>
              <w:rPr>
                <w:sz w:val="20"/>
              </w:rPr>
              <w:t xml:space="preserve">23969</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91524,0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12 6 019001 9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26210</w:t>
            </w:r>
          </w:p>
        </w:tc>
        <w:tc>
          <w:tcPr>
            <w:tcW w:w="1024" w:type="dxa"/>
            <w:vAlign w:val="center"/>
          </w:tcPr>
          <w:p>
            <w:pPr>
              <w:pStyle w:val="0"/>
              <w:jc w:val="center"/>
            </w:pPr>
            <w:r>
              <w:rPr>
                <w:sz w:val="20"/>
              </w:rPr>
              <w:t xml:space="preserve">6580,0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32790,0</w:t>
            </w:r>
          </w:p>
        </w:tc>
      </w:tr>
      <w:tr>
        <w:tc>
          <w:tcPr>
            <w:vMerge w:val="continue"/>
          </w:tcPr>
          <w:p/>
        </w:tc>
        <w:tc>
          <w:tcPr>
            <w:vMerge w:val="continue"/>
          </w:tcP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12 6019001 9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24915</w:t>
            </w:r>
          </w:p>
        </w:tc>
        <w:tc>
          <w:tcPr>
            <w:tcW w:w="844" w:type="dxa"/>
            <w:vAlign w:val="center"/>
          </w:tcPr>
          <w:p>
            <w:pPr>
              <w:pStyle w:val="0"/>
              <w:jc w:val="center"/>
            </w:pPr>
            <w:r>
              <w:rPr>
                <w:sz w:val="20"/>
              </w:rPr>
              <w:t xml:space="preserve">21751</w:t>
            </w:r>
          </w:p>
        </w:tc>
        <w:tc>
          <w:tcPr>
            <w:tcW w:w="1024" w:type="dxa"/>
            <w:vAlign w:val="center"/>
          </w:tcPr>
          <w:p>
            <w:pPr>
              <w:pStyle w:val="0"/>
              <w:jc w:val="center"/>
            </w:pPr>
            <w:r>
              <w:rPr>
                <w:sz w:val="20"/>
              </w:rPr>
              <w:t xml:space="preserve">51778,0</w:t>
            </w:r>
          </w:p>
        </w:tc>
        <w:tc>
          <w:tcPr>
            <w:tcW w:w="844" w:type="dxa"/>
            <w:vAlign w:val="center"/>
          </w:tcPr>
          <w:p>
            <w:pPr>
              <w:pStyle w:val="0"/>
              <w:jc w:val="center"/>
            </w:pPr>
            <w:r>
              <w:rPr>
                <w:sz w:val="20"/>
              </w:rPr>
              <w:t xml:space="preserve">69375</w:t>
            </w:r>
          </w:p>
        </w:tc>
        <w:tc>
          <w:tcPr>
            <w:tcW w:w="844" w:type="dxa"/>
            <w:vAlign w:val="center"/>
          </w:tcPr>
          <w:p>
            <w:pPr>
              <w:pStyle w:val="0"/>
              <w:jc w:val="center"/>
            </w:pPr>
            <w:r>
              <w:rPr>
                <w:sz w:val="20"/>
              </w:rPr>
              <w:t xml:space="preserve">73389</w:t>
            </w:r>
          </w:p>
        </w:tc>
        <w:tc>
          <w:tcPr>
            <w:tcW w:w="1024" w:type="dxa"/>
            <w:vAlign w:val="center"/>
          </w:tcPr>
          <w:p>
            <w:pPr>
              <w:pStyle w:val="0"/>
              <w:jc w:val="center"/>
            </w:pPr>
            <w:r>
              <w:rPr>
                <w:sz w:val="20"/>
              </w:rPr>
              <w:t xml:space="preserve">79466,8</w:t>
            </w:r>
          </w:p>
        </w:tc>
        <w:tc>
          <w:tcPr>
            <w:tcW w:w="1024" w:type="dxa"/>
            <w:vAlign w:val="center"/>
          </w:tcPr>
          <w:p>
            <w:pPr>
              <w:pStyle w:val="0"/>
              <w:jc w:val="center"/>
            </w:pPr>
            <w:r>
              <w:rPr>
                <w:sz w:val="20"/>
              </w:rPr>
              <w:t xml:space="preserve">84854</w:t>
            </w:r>
          </w:p>
        </w:tc>
        <w:tc>
          <w:tcPr>
            <w:tcW w:w="1144" w:type="dxa"/>
            <w:vAlign w:val="center"/>
          </w:tcPr>
          <w:p>
            <w:pPr>
              <w:pStyle w:val="0"/>
              <w:jc w:val="center"/>
            </w:pPr>
            <w:r>
              <w:rPr>
                <w:sz w:val="20"/>
              </w:rPr>
              <w:t xml:space="preserve">405528,8</w:t>
            </w:r>
          </w:p>
        </w:tc>
      </w:tr>
      <w:tr>
        <w:tc>
          <w:tcPr>
            <w:vMerge w:val="continue"/>
          </w:tcPr>
          <w:p/>
        </w:tc>
        <w:tc>
          <w:tcPr>
            <w:vMerge w:val="continue"/>
          </w:tcPr>
          <w:p/>
        </w:tc>
        <w:tc>
          <w:tcPr>
            <w:tcW w:w="283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12 6 0190019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12661</w:t>
            </w:r>
          </w:p>
        </w:tc>
        <w:tc>
          <w:tcPr>
            <w:tcW w:w="1024" w:type="dxa"/>
            <w:vAlign w:val="center"/>
          </w:tcPr>
          <w:p>
            <w:pPr>
              <w:pStyle w:val="0"/>
              <w:jc w:val="center"/>
            </w:pPr>
            <w:r>
              <w:rPr>
                <w:sz w:val="20"/>
              </w:rPr>
              <w:t xml:space="preserve">5515,1</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18176,1</w:t>
            </w:r>
          </w:p>
        </w:tc>
      </w:tr>
      <w:tr>
        <w:tc>
          <w:tcPr>
            <w:vMerge w:val="continue"/>
          </w:tcPr>
          <w:p/>
        </w:tc>
        <w:tc>
          <w:tcPr>
            <w:vMerge w:val="continue"/>
          </w:tcPr>
          <w:p/>
        </w:tc>
        <w:tc>
          <w:tcPr>
            <w:tcW w:w="2839" w:type="dxa"/>
            <w:vAlign w:val="center"/>
          </w:tcPr>
          <w:p>
            <w:pPr>
              <w:pStyle w:val="0"/>
              <w:jc w:val="center"/>
            </w:pPr>
            <w:r>
              <w:rPr>
                <w:sz w:val="20"/>
              </w:rPr>
              <w:t xml:space="preserve">Департамент строительства и транспорта Белгородской области</w:t>
            </w:r>
          </w:p>
        </w:tc>
        <w:tc>
          <w:tcPr>
            <w:tcW w:w="694" w:type="dxa"/>
            <w:vAlign w:val="center"/>
          </w:tcPr>
          <w:p>
            <w:pPr>
              <w:pStyle w:val="0"/>
              <w:jc w:val="center"/>
            </w:pPr>
            <w:r>
              <w:rPr>
                <w:sz w:val="20"/>
              </w:rPr>
              <w:t xml:space="preserve">807</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1260122110</w:t>
            </w:r>
          </w:p>
        </w:tc>
        <w:tc>
          <w:tcPr>
            <w:tcW w:w="604" w:type="dxa"/>
            <w:vAlign w:val="center"/>
          </w:tcPr>
          <w:p>
            <w:pPr>
              <w:pStyle w:val="0"/>
              <w:jc w:val="center"/>
            </w:pPr>
            <w:r>
              <w:rPr>
                <w:sz w:val="20"/>
              </w:rPr>
              <w:t xml:space="preserve">612</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6400</w:t>
            </w:r>
          </w:p>
        </w:tc>
        <w:tc>
          <w:tcPr>
            <w:tcW w:w="1024" w:type="dxa"/>
            <w:vAlign w:val="center"/>
          </w:tcPr>
          <w:p>
            <w:pPr>
              <w:pStyle w:val="0"/>
              <w:jc w:val="center"/>
            </w:pPr>
            <w:r>
              <w:rPr>
                <w:sz w:val="20"/>
              </w:rPr>
              <w:t xml:space="preserve">10000,0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16400,0</w:t>
            </w:r>
          </w:p>
        </w:tc>
      </w:tr>
      <w:tr>
        <w:tc>
          <w:tcPr>
            <w:tcW w:w="1849" w:type="dxa"/>
            <w:vAlign w:val="center"/>
            <w:vMerge w:val="restart"/>
          </w:tcPr>
          <w:p>
            <w:pPr>
              <w:pStyle w:val="0"/>
              <w:jc w:val="center"/>
            </w:pPr>
            <w:r>
              <w:rPr>
                <w:sz w:val="20"/>
              </w:rPr>
              <w:t xml:space="preserve">Основное мероприятие 6.2</w:t>
            </w:r>
          </w:p>
        </w:tc>
        <w:tc>
          <w:tcPr>
            <w:tcW w:w="2314" w:type="dxa"/>
            <w:vAlign w:val="center"/>
            <w:vMerge w:val="restart"/>
          </w:tcPr>
          <w:p>
            <w:pPr>
              <w:pStyle w:val="0"/>
              <w:jc w:val="center"/>
            </w:pPr>
            <w:r>
              <w:rPr>
                <w:sz w:val="20"/>
              </w:rPr>
              <w:t xml:space="preserve">Субвенции на осуществление отдельных государственных полномочий по рассмотрению дел об административных правонарушениях</w:t>
            </w:r>
          </w:p>
        </w:tc>
        <w:tc>
          <w:tcPr>
            <w:tcW w:w="283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0104</w:t>
            </w:r>
          </w:p>
        </w:tc>
        <w:tc>
          <w:tcPr>
            <w:tcW w:w="1134" w:type="dxa"/>
            <w:vAlign w:val="center"/>
          </w:tcPr>
          <w:p>
            <w:pPr>
              <w:pStyle w:val="0"/>
              <w:jc w:val="center"/>
            </w:pPr>
            <w:r>
              <w:rPr>
                <w:sz w:val="20"/>
              </w:rPr>
              <w:t xml:space="preserve">12 6 00 19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t xml:space="preserve">10771</w:t>
            </w:r>
          </w:p>
        </w:tc>
        <w:tc>
          <w:tcPr>
            <w:tcW w:w="844" w:type="dxa"/>
            <w:vAlign w:val="center"/>
          </w:tcPr>
          <w:p>
            <w:pPr>
              <w:pStyle w:val="0"/>
              <w:jc w:val="center"/>
            </w:pPr>
            <w:r>
              <w:rPr>
                <w:sz w:val="20"/>
              </w:rPr>
              <w:t xml:space="preserve">5656</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16427,0</w:t>
            </w:r>
          </w:p>
        </w:tc>
      </w:tr>
      <w:tr>
        <w:tc>
          <w:tcPr>
            <w:vMerge w:val="continue"/>
          </w:tcPr>
          <w:p/>
        </w:tc>
        <w:tc>
          <w:tcPr>
            <w:vMerge w:val="continue"/>
          </w:tcPr>
          <w:p/>
        </w:tc>
        <w:tc>
          <w:tcPr>
            <w:tcW w:w="283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12 6 019001 9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11199</w:t>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11199,0</w:t>
            </w:r>
          </w:p>
        </w:tc>
      </w:tr>
      <w:tr>
        <w:tc>
          <w:tcPr>
            <w:vMerge w:val="continue"/>
          </w:tcPr>
          <w:p/>
        </w:tc>
        <w:tc>
          <w:tcPr>
            <w:vMerge w:val="continue"/>
          </w:tcPr>
          <w:p/>
        </w:tc>
        <w:tc>
          <w:tcPr>
            <w:tcW w:w="283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12 6019001 9</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10746,0</w:t>
            </w:r>
          </w:p>
        </w:tc>
        <w:tc>
          <w:tcPr>
            <w:tcW w:w="844" w:type="dxa"/>
            <w:vAlign w:val="center"/>
          </w:tcPr>
          <w:p>
            <w:pPr>
              <w:pStyle w:val="0"/>
              <w:jc w:val="center"/>
            </w:pPr>
            <w:r>
              <w:rPr>
                <w:sz w:val="20"/>
              </w:rPr>
              <w:t xml:space="preserve">10746</w:t>
            </w:r>
          </w:p>
        </w:tc>
        <w:tc>
          <w:tcPr>
            <w:tcW w:w="844" w:type="dxa"/>
            <w:vAlign w:val="center"/>
          </w:tcPr>
          <w:p>
            <w:pPr>
              <w:pStyle w:val="0"/>
              <w:jc w:val="center"/>
            </w:pPr>
            <w:r>
              <w:rPr>
                <w:sz w:val="20"/>
              </w:rPr>
              <w:t xml:space="preserve">15258</w:t>
            </w:r>
          </w:p>
        </w:tc>
        <w:tc>
          <w:tcPr>
            <w:tcW w:w="1024" w:type="dxa"/>
            <w:vAlign w:val="center"/>
          </w:tcPr>
          <w:p>
            <w:pPr>
              <w:pStyle w:val="0"/>
              <w:jc w:val="center"/>
            </w:pPr>
            <w:r>
              <w:rPr>
                <w:sz w:val="20"/>
              </w:rPr>
              <w:t xml:space="preserve">15518</w:t>
            </w:r>
          </w:p>
        </w:tc>
        <w:tc>
          <w:tcPr>
            <w:tcW w:w="1024" w:type="dxa"/>
            <w:vAlign w:val="center"/>
          </w:tcPr>
          <w:p>
            <w:pPr>
              <w:pStyle w:val="0"/>
              <w:jc w:val="center"/>
            </w:pPr>
            <w:r>
              <w:rPr>
                <w:sz w:val="20"/>
              </w:rPr>
              <w:t xml:space="preserve">17305</w:t>
            </w:r>
          </w:p>
        </w:tc>
        <w:tc>
          <w:tcPr>
            <w:tcW w:w="1144" w:type="dxa"/>
            <w:vAlign w:val="center"/>
          </w:tcPr>
          <w:p>
            <w:pPr>
              <w:pStyle w:val="0"/>
              <w:jc w:val="center"/>
            </w:pPr>
            <w:r>
              <w:rPr>
                <w:sz w:val="20"/>
              </w:rPr>
              <w:t xml:space="preserve">69573,0</w:t>
            </w:r>
          </w:p>
        </w:tc>
      </w:tr>
      <w:tr>
        <w:tc>
          <w:tcPr>
            <w:tcW w:w="1849" w:type="dxa"/>
            <w:vAlign w:val="center"/>
            <w:vMerge w:val="restart"/>
          </w:tcPr>
          <w:p>
            <w:pPr>
              <w:pStyle w:val="0"/>
              <w:jc w:val="center"/>
            </w:pPr>
            <w:r>
              <w:rPr>
                <w:sz w:val="20"/>
              </w:rPr>
              <w:t xml:space="preserve">Подпрограмма 7</w:t>
            </w:r>
          </w:p>
        </w:tc>
        <w:tc>
          <w:tcPr>
            <w:tcW w:w="2314" w:type="dxa"/>
            <w:vAlign w:val="center"/>
            <w:vMerge w:val="restart"/>
          </w:tcPr>
          <w:p>
            <w:pPr>
              <w:pStyle w:val="0"/>
              <w:jc w:val="center"/>
            </w:pPr>
            <w:r>
              <w:rPr>
                <w:sz w:val="20"/>
              </w:rPr>
              <w:t xml:space="preserve">Обращение с твердыми коммунальными отходами на территории Белгородской области</w:t>
            </w:r>
          </w:p>
        </w:tc>
        <w:tc>
          <w:tcPr>
            <w:tcW w:w="283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5000,0</w:t>
            </w:r>
          </w:p>
        </w:tc>
        <w:tc>
          <w:tcPr>
            <w:tcW w:w="1024" w:type="dxa"/>
            <w:vAlign w:val="center"/>
          </w:tcPr>
          <w:p>
            <w:pPr>
              <w:pStyle w:val="0"/>
              <w:jc w:val="center"/>
            </w:pPr>
            <w:r>
              <w:rPr>
                <w:sz w:val="20"/>
              </w:rPr>
              <w:t xml:space="preserve">25564,0</w:t>
            </w:r>
          </w:p>
        </w:tc>
        <w:tc>
          <w:tcPr>
            <w:tcW w:w="1024" w:type="dxa"/>
            <w:vAlign w:val="center"/>
          </w:tcPr>
          <w:p>
            <w:pPr>
              <w:pStyle w:val="0"/>
              <w:jc w:val="center"/>
            </w:pPr>
            <w:r>
              <w:rPr>
                <w:sz w:val="20"/>
              </w:rPr>
              <w:t xml:space="preserve">174786,1</w:t>
            </w:r>
          </w:p>
        </w:tc>
        <w:tc>
          <w:tcPr>
            <w:tcW w:w="1144" w:type="dxa"/>
            <w:vAlign w:val="center"/>
          </w:tcPr>
          <w:p>
            <w:pPr>
              <w:pStyle w:val="0"/>
              <w:jc w:val="center"/>
            </w:pPr>
            <w:r>
              <w:rPr>
                <w:sz w:val="20"/>
              </w:rPr>
              <w:t xml:space="preserve">205350,1</w:t>
            </w:r>
          </w:p>
        </w:tc>
      </w:tr>
      <w:tr>
        <w:tc>
          <w:tcPr>
            <w:vMerge w:val="continue"/>
          </w:tcPr>
          <w:p/>
        </w:tc>
        <w:tc>
          <w:tcPr>
            <w:vMerge w:val="continue"/>
          </w:tcP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13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5000,0</w:t>
            </w:r>
          </w:p>
        </w:tc>
        <w:tc>
          <w:tcPr>
            <w:tcW w:w="1024" w:type="dxa"/>
            <w:vAlign w:val="center"/>
          </w:tcPr>
          <w:p>
            <w:pPr>
              <w:pStyle w:val="0"/>
              <w:jc w:val="center"/>
            </w:pPr>
            <w:r>
              <w:rPr>
                <w:sz w:val="20"/>
              </w:rPr>
              <w:t xml:space="preserve">25564,0</w:t>
            </w:r>
          </w:p>
        </w:tc>
        <w:tc>
          <w:tcPr>
            <w:tcW w:w="1024" w:type="dxa"/>
            <w:vAlign w:val="center"/>
          </w:tcPr>
          <w:p>
            <w:pPr>
              <w:pStyle w:val="0"/>
              <w:jc w:val="center"/>
            </w:pPr>
            <w:r>
              <w:rPr>
                <w:sz w:val="20"/>
              </w:rPr>
              <w:t xml:space="preserve">174786,1</w:t>
            </w:r>
          </w:p>
        </w:tc>
        <w:tc>
          <w:tcPr>
            <w:tcW w:w="1144" w:type="dxa"/>
            <w:vAlign w:val="center"/>
          </w:tcPr>
          <w:p>
            <w:pPr>
              <w:pStyle w:val="0"/>
              <w:jc w:val="center"/>
            </w:pPr>
            <w:r>
              <w:rPr>
                <w:sz w:val="20"/>
              </w:rPr>
              <w:t xml:space="preserve">205350,1</w:t>
            </w:r>
          </w:p>
        </w:tc>
      </w:tr>
      <w:tr>
        <w:tc>
          <w:tcPr>
            <w:tcW w:w="1849" w:type="dxa"/>
            <w:vAlign w:val="center"/>
            <w:vMerge w:val="restart"/>
          </w:tcPr>
          <w:p>
            <w:pPr>
              <w:pStyle w:val="0"/>
              <w:jc w:val="center"/>
            </w:pPr>
            <w:r>
              <w:rPr>
                <w:sz w:val="20"/>
              </w:rPr>
              <w:t xml:space="preserve">Основное мероприятие 7.1</w:t>
            </w:r>
          </w:p>
        </w:tc>
        <w:tc>
          <w:tcPr>
            <w:tcW w:w="2314" w:type="dxa"/>
            <w:vAlign w:val="center"/>
            <w:vMerge w:val="restart"/>
          </w:tcPr>
          <w:p>
            <w:pPr>
              <w:pStyle w:val="0"/>
              <w:jc w:val="center"/>
            </w:pPr>
            <w:r>
              <w:rPr>
                <w:sz w:val="20"/>
              </w:rPr>
              <w:t xml:space="preserve">Создание эффективных механизмов управления в отрасли обращения с твердыми коммунальными отходами</w:t>
            </w:r>
          </w:p>
        </w:tc>
        <w:tc>
          <w:tcPr>
            <w:tcW w:w="2839" w:type="dxa"/>
            <w:vAlign w:val="center"/>
            <w:vMerge w:val="restart"/>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12 7 0171430</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t xml:space="preserve">20564,0</w:t>
            </w:r>
          </w:p>
        </w:tc>
        <w:tc>
          <w:tcPr>
            <w:tcW w:w="1024" w:type="dxa"/>
            <w:vAlign w:val="center"/>
          </w:tcPr>
          <w:p>
            <w:pPr>
              <w:pStyle w:val="0"/>
              <w:jc w:val="center"/>
            </w:pPr>
            <w:r>
              <w:rPr>
                <w:sz w:val="20"/>
              </w:rPr>
              <w:t xml:space="preserve">30537,4</w:t>
            </w:r>
          </w:p>
        </w:tc>
        <w:tc>
          <w:tcPr>
            <w:tcW w:w="1144" w:type="dxa"/>
            <w:vAlign w:val="center"/>
          </w:tcPr>
          <w:p>
            <w:pPr>
              <w:pStyle w:val="0"/>
              <w:jc w:val="center"/>
            </w:pPr>
            <w:r>
              <w:rPr>
                <w:sz w:val="20"/>
              </w:rPr>
              <w:t xml:space="preserve">51101,4</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12 7 0160310</w:t>
            </w:r>
          </w:p>
        </w:tc>
        <w:tc>
          <w:tcPr>
            <w:tcW w:w="604" w:type="dxa"/>
            <w:vAlign w:val="center"/>
          </w:tcPr>
          <w:p>
            <w:pPr>
              <w:pStyle w:val="0"/>
              <w:jc w:val="center"/>
            </w:pPr>
            <w:r>
              <w:rPr>
                <w:sz w:val="20"/>
              </w:rPr>
              <w:t xml:space="preserve">400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tcPr>
          <w:p>
            <w:pPr>
              <w:pStyle w:val="0"/>
              <w:jc w:val="center"/>
            </w:pPr>
            <w:r>
              <w:rPr>
                <w:sz w:val="20"/>
              </w:rPr>
              <w:t xml:space="preserve">Основное мероприятие 7.2</w:t>
            </w:r>
          </w:p>
        </w:tc>
        <w:tc>
          <w:tcPr>
            <w:tcW w:w="2314" w:type="dxa"/>
            <w:vAlign w:val="center"/>
          </w:tcPr>
          <w:p>
            <w:pPr>
              <w:pStyle w:val="0"/>
              <w:jc w:val="center"/>
            </w:pPr>
            <w:r>
              <w:rPr>
                <w:sz w:val="20"/>
              </w:rPr>
              <w:t xml:space="preserve">Разработка электронной модели территориальной схемы по обращению с отходами</w:t>
            </w: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12 7 0229990</w:t>
            </w:r>
          </w:p>
        </w:tc>
        <w:tc>
          <w:tcPr>
            <w:tcW w:w="604" w:type="dxa"/>
            <w:vAlign w:val="center"/>
          </w:tcPr>
          <w:p>
            <w:pPr>
              <w:pStyle w:val="0"/>
              <w:jc w:val="center"/>
            </w:pPr>
            <w:r>
              <w:rPr>
                <w:sz w:val="20"/>
              </w:rPr>
              <w:t xml:space="preserve">200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t xml:space="preserve">5000</w:t>
            </w:r>
          </w:p>
        </w:tc>
        <w:tc>
          <w:tcPr>
            <w:tcW w:w="1024" w:type="dxa"/>
            <w:vAlign w:val="center"/>
          </w:tcPr>
          <w:p>
            <w:pPr>
              <w:pStyle w:val="0"/>
              <w:jc w:val="center"/>
            </w:pPr>
            <w:r>
              <w:rPr>
                <w:sz w:val="20"/>
              </w:rPr>
              <w:t xml:space="preserve">5000,0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10000,0</w:t>
            </w:r>
          </w:p>
        </w:tc>
      </w:tr>
      <w:tr>
        <w:tc>
          <w:tcPr>
            <w:tcW w:w="1849" w:type="dxa"/>
            <w:vAlign w:val="center"/>
          </w:tcPr>
          <w:p>
            <w:pPr>
              <w:pStyle w:val="0"/>
              <w:jc w:val="center"/>
            </w:pPr>
            <w:r>
              <w:rPr>
                <w:sz w:val="20"/>
              </w:rPr>
              <w:t xml:space="preserve">Основное мероприятие 7.3</w:t>
            </w:r>
          </w:p>
        </w:tc>
        <w:tc>
          <w:tcPr>
            <w:tcW w:w="2314" w:type="dxa"/>
            <w:vAlign w:val="center"/>
          </w:tcPr>
          <w:p>
            <w:pPr>
              <w:pStyle w:val="0"/>
              <w:jc w:val="center"/>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134" w:type="dxa"/>
            <w:vAlign w:val="center"/>
          </w:tcPr>
          <w:p>
            <w:pPr>
              <w:pStyle w:val="0"/>
              <w:jc w:val="center"/>
            </w:pPr>
            <w:r>
              <w:rPr>
                <w:sz w:val="20"/>
              </w:rPr>
              <w:t xml:space="preserve">12 7 03 71410</w:t>
            </w:r>
          </w:p>
        </w:tc>
        <w:tc>
          <w:tcPr>
            <w:tcW w:w="604" w:type="dxa"/>
            <w:vAlign w:val="center"/>
          </w:tcPr>
          <w:p>
            <w:pPr>
              <w:pStyle w:val="0"/>
              <w:jc w:val="center"/>
            </w:pPr>
            <w:r>
              <w:rPr>
                <w:sz w:val="20"/>
              </w:rPr>
              <w:t xml:space="preserve">500</w:t>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28547,9</w:t>
            </w:r>
          </w:p>
        </w:tc>
        <w:tc>
          <w:tcPr>
            <w:tcW w:w="1144" w:type="dxa"/>
            <w:vAlign w:val="center"/>
          </w:tcPr>
          <w:p>
            <w:pPr>
              <w:pStyle w:val="0"/>
              <w:jc w:val="center"/>
            </w:pPr>
            <w:r>
              <w:rPr>
                <w:sz w:val="20"/>
              </w:rPr>
              <w:t xml:space="preserve">28547,9</w:t>
            </w:r>
          </w:p>
        </w:tc>
      </w:tr>
      <w:tr>
        <w:tc>
          <w:tcPr>
            <w:tcW w:w="1849" w:type="dxa"/>
            <w:vAlign w:val="center"/>
          </w:tcPr>
          <w:p>
            <w:pPr>
              <w:pStyle w:val="0"/>
              <w:jc w:val="center"/>
            </w:pPr>
            <w:r>
              <w:rPr>
                <w:sz w:val="20"/>
              </w:rPr>
              <w:t xml:space="preserve">Проект 7.G2</w:t>
            </w:r>
          </w:p>
        </w:tc>
        <w:tc>
          <w:tcPr>
            <w:tcW w:w="2314" w:type="dxa"/>
            <w:vAlign w:val="center"/>
          </w:tcPr>
          <w:p>
            <w:pPr>
              <w:pStyle w:val="0"/>
              <w:jc w:val="center"/>
            </w:pPr>
            <w:r>
              <w:rPr>
                <w:sz w:val="20"/>
              </w:rPr>
              <w:t xml:space="preserve">Комплексная система обращения с твердыми коммунальными отходами</w:t>
            </w:r>
          </w:p>
        </w:tc>
        <w:tc>
          <w:tcPr>
            <w:tcW w:w="283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r>
          </w:p>
        </w:tc>
        <w:tc>
          <w:tcPr>
            <w:tcW w:w="1134" w:type="dxa"/>
            <w:vAlign w:val="center"/>
          </w:tcPr>
          <w:p>
            <w:pPr>
              <w:pStyle w:val="0"/>
              <w:jc w:val="center"/>
            </w:pPr>
            <w:r>
              <w:rPr>
                <w:sz w:val="20"/>
              </w:rPr>
              <w:t xml:space="preserve">12 7</w:t>
            </w:r>
          </w:p>
        </w:tc>
        <w:tc>
          <w:tcPr>
            <w:tcW w:w="60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844" w:type="dxa"/>
            <w:vAlign w:val="center"/>
          </w:tcPr>
          <w:p>
            <w:pPr>
              <w:pStyle w:val="0"/>
              <w:jc w:val="center"/>
            </w:pPr>
            <w:r>
              <w:rPr>
                <w:sz w:val="20"/>
              </w:rPr>
            </w:r>
          </w:p>
        </w:tc>
        <w:tc>
          <w:tcPr>
            <w:tcW w:w="84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t xml:space="preserve">115700,8</w:t>
            </w:r>
          </w:p>
        </w:tc>
        <w:tc>
          <w:tcPr>
            <w:tcW w:w="1144" w:type="dxa"/>
            <w:vAlign w:val="center"/>
          </w:tcPr>
          <w:p>
            <w:pPr>
              <w:pStyle w:val="0"/>
              <w:jc w:val="center"/>
            </w:pPr>
            <w:r>
              <w:rPr>
                <w:sz w:val="20"/>
              </w:rPr>
              <w:t xml:space="preserve">115700,8</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ind w:firstLine="540"/>
        <w:jc w:val="both"/>
      </w:pPr>
      <w:r>
        <w:rPr>
          <w:sz w:val="20"/>
        </w:rPr>
      </w:r>
    </w:p>
    <w:p>
      <w:pPr>
        <w:pStyle w:val="2"/>
        <w:outlineLvl w:val="2"/>
        <w:jc w:val="center"/>
      </w:pPr>
      <w:r>
        <w:rPr>
          <w:sz w:val="20"/>
        </w:rPr>
        <w:t xml:space="preserve">Ресурсное обеспечение реализации государственной программы</w:t>
      </w:r>
    </w:p>
    <w:p>
      <w:pPr>
        <w:pStyle w:val="2"/>
        <w:jc w:val="center"/>
      </w:pPr>
      <w:r>
        <w:rPr>
          <w:sz w:val="20"/>
        </w:rPr>
        <w:t xml:space="preserve">Белгородской области "Развитие водного и лесного хозяйства</w:t>
      </w:r>
    </w:p>
    <w:p>
      <w:pPr>
        <w:pStyle w:val="2"/>
        <w:jc w:val="center"/>
      </w:pPr>
      <w:r>
        <w:rPr>
          <w:sz w:val="20"/>
        </w:rPr>
        <w:t xml:space="preserve">Белгородской области, охрана окружающей среды" за счет</w:t>
      </w:r>
    </w:p>
    <w:p>
      <w:pPr>
        <w:pStyle w:val="2"/>
        <w:jc w:val="center"/>
      </w:pPr>
      <w:r>
        <w:rPr>
          <w:sz w:val="20"/>
        </w:rPr>
        <w:t xml:space="preserve">средств бюджета Белгородской области на 2 этапе реализации</w:t>
      </w:r>
    </w:p>
    <w:p>
      <w:pPr>
        <w:pStyle w:val="0"/>
        <w:jc w:val="center"/>
      </w:pPr>
      <w:r>
        <w:rPr>
          <w:sz w:val="20"/>
        </w:rPr>
        <w:t xml:space="preserve">(в ред. </w:t>
      </w:r>
      <w:hyperlink w:history="0" r:id="rId212"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w:t>
      </w:r>
    </w:p>
    <w:p>
      <w:pPr>
        <w:pStyle w:val="0"/>
        <w:jc w:val="center"/>
      </w:pPr>
      <w:r>
        <w:rPr>
          <w:sz w:val="20"/>
        </w:rPr>
        <w:t xml:space="preserve">от 06.02.2023 N 44-пп)</w:t>
      </w:r>
    </w:p>
    <w:p>
      <w:pPr>
        <w:pStyle w:val="0"/>
        <w:jc w:val="center"/>
      </w:pPr>
      <w:r>
        <w:rPr>
          <w:sz w:val="20"/>
        </w:rPr>
      </w:r>
    </w:p>
    <w:p>
      <w:pPr>
        <w:pStyle w:val="0"/>
        <w:jc w:val="right"/>
      </w:pPr>
      <w:r>
        <w:rPr>
          <w:sz w:val="20"/>
        </w:rPr>
        <w:t xml:space="preserve">Таблица 2</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835"/>
        <w:gridCol w:w="2749"/>
        <w:gridCol w:w="694"/>
        <w:gridCol w:w="604"/>
        <w:gridCol w:w="1587"/>
        <w:gridCol w:w="484"/>
        <w:gridCol w:w="1909"/>
        <w:gridCol w:w="1024"/>
        <w:gridCol w:w="1144"/>
        <w:gridCol w:w="1144"/>
        <w:gridCol w:w="1144"/>
        <w:gridCol w:w="1024"/>
        <w:gridCol w:w="1144"/>
      </w:tblGrid>
      <w:tr>
        <w:tc>
          <w:tcPr>
            <w:tcW w:w="1849" w:type="dxa"/>
            <w:vMerge w:val="restart"/>
          </w:tcPr>
          <w:p>
            <w:pPr>
              <w:pStyle w:val="0"/>
              <w:jc w:val="center"/>
            </w:pPr>
            <w:r>
              <w:rPr>
                <w:sz w:val="20"/>
              </w:rPr>
              <w:t xml:space="preserve">Статус</w:t>
            </w:r>
          </w:p>
        </w:tc>
        <w:tc>
          <w:tcPr>
            <w:tcW w:w="2835" w:type="dxa"/>
            <w:vMerge w:val="restart"/>
          </w:tcPr>
          <w:p>
            <w:pPr>
              <w:pStyle w:val="0"/>
              <w:jc w:val="center"/>
            </w:pPr>
            <w:r>
              <w:rPr>
                <w:sz w:val="20"/>
              </w:rPr>
              <w:t xml:space="preserve">Наименование государственной программы, подпрограммы, основного мероприятия</w:t>
            </w:r>
          </w:p>
        </w:tc>
        <w:tc>
          <w:tcPr>
            <w:tcW w:w="2749" w:type="dxa"/>
            <w:vMerge w:val="restart"/>
          </w:tcPr>
          <w:p>
            <w:pPr>
              <w:pStyle w:val="0"/>
              <w:jc w:val="center"/>
            </w:pPr>
            <w:r>
              <w:rPr>
                <w:sz w:val="20"/>
              </w:rPr>
              <w:t xml:space="preserve">Ответственный исполнитель, соисполнители, участники</w:t>
            </w:r>
          </w:p>
        </w:tc>
        <w:tc>
          <w:tcPr>
            <w:gridSpan w:val="4"/>
            <w:tcW w:w="3369" w:type="dxa"/>
          </w:tcPr>
          <w:p>
            <w:pPr>
              <w:pStyle w:val="0"/>
              <w:jc w:val="center"/>
            </w:pPr>
            <w:r>
              <w:rPr>
                <w:sz w:val="20"/>
              </w:rPr>
              <w:t xml:space="preserve">Код бюджетной классификации</w:t>
            </w:r>
          </w:p>
        </w:tc>
        <w:tc>
          <w:tcPr>
            <w:tcW w:w="1909" w:type="dxa"/>
            <w:vMerge w:val="restart"/>
          </w:tcPr>
          <w:p>
            <w:pPr>
              <w:pStyle w:val="0"/>
              <w:jc w:val="center"/>
            </w:pPr>
            <w:r>
              <w:rPr>
                <w:sz w:val="20"/>
              </w:rPr>
              <w:t xml:space="preserve">Общий объем финансирования, тыс. рублей</w:t>
            </w:r>
          </w:p>
        </w:tc>
        <w:tc>
          <w:tcPr>
            <w:gridSpan w:val="5"/>
            <w:tcW w:w="5480" w:type="dxa"/>
          </w:tcPr>
          <w:p>
            <w:pPr>
              <w:pStyle w:val="0"/>
              <w:jc w:val="center"/>
            </w:pPr>
            <w:r>
              <w:rPr>
                <w:sz w:val="20"/>
              </w:rPr>
              <w:t xml:space="preserve">Расходы (тыс. рублей), годы</w:t>
            </w:r>
          </w:p>
        </w:tc>
        <w:tc>
          <w:tcPr>
            <w:tcW w:w="1144" w:type="dxa"/>
            <w:vMerge w:val="restart"/>
          </w:tcPr>
          <w:p>
            <w:pPr>
              <w:pStyle w:val="0"/>
              <w:jc w:val="center"/>
            </w:pPr>
            <w:r>
              <w:rPr>
                <w:sz w:val="20"/>
              </w:rPr>
              <w:t xml:space="preserve">Итого на 2 этапе (2021 - 2025)</w:t>
            </w:r>
          </w:p>
        </w:tc>
      </w:tr>
      <w:tr>
        <w:tc>
          <w:tcPr>
            <w:vMerge w:val="continue"/>
          </w:tcPr>
          <w:p/>
        </w:tc>
        <w:tc>
          <w:tcPr>
            <w:vMerge w:val="continue"/>
          </w:tcPr>
          <w:p/>
        </w:tc>
        <w:tc>
          <w:tcPr>
            <w:vMerge w:val="continue"/>
          </w:tcPr>
          <w:p/>
        </w:tc>
        <w:tc>
          <w:tcPr>
            <w:tcW w:w="694" w:type="dxa"/>
          </w:tcPr>
          <w:p>
            <w:pPr>
              <w:pStyle w:val="0"/>
              <w:jc w:val="center"/>
            </w:pPr>
            <w:r>
              <w:rPr>
                <w:sz w:val="20"/>
              </w:rPr>
              <w:t xml:space="preserve">ГРБС</w:t>
            </w:r>
          </w:p>
        </w:tc>
        <w:tc>
          <w:tcPr>
            <w:tcW w:w="604" w:type="dxa"/>
          </w:tcPr>
          <w:p>
            <w:pPr>
              <w:pStyle w:val="0"/>
              <w:jc w:val="center"/>
            </w:pPr>
            <w:r>
              <w:rPr>
                <w:sz w:val="20"/>
              </w:rPr>
              <w:t xml:space="preserve">Пр</w:t>
            </w:r>
          </w:p>
        </w:tc>
        <w:tc>
          <w:tcPr>
            <w:tcW w:w="1587" w:type="dxa"/>
          </w:tcPr>
          <w:p>
            <w:pPr>
              <w:pStyle w:val="0"/>
              <w:jc w:val="center"/>
            </w:pPr>
            <w:r>
              <w:rPr>
                <w:sz w:val="20"/>
              </w:rPr>
              <w:t xml:space="preserve">ЦСР</w:t>
            </w:r>
          </w:p>
        </w:tc>
        <w:tc>
          <w:tcPr>
            <w:tcW w:w="484" w:type="dxa"/>
          </w:tcPr>
          <w:p>
            <w:pPr>
              <w:pStyle w:val="0"/>
              <w:jc w:val="center"/>
            </w:pPr>
            <w:r>
              <w:rPr>
                <w:sz w:val="20"/>
              </w:rPr>
              <w:t xml:space="preserve">ВР</w:t>
            </w:r>
          </w:p>
        </w:tc>
        <w:tc>
          <w:tcPr>
            <w:vMerge w:val="continue"/>
          </w:tcPr>
          <w:p/>
        </w:tc>
        <w:tc>
          <w:tcPr>
            <w:tcW w:w="1024" w:type="dxa"/>
          </w:tcPr>
          <w:p>
            <w:pPr>
              <w:pStyle w:val="0"/>
              <w:jc w:val="center"/>
            </w:pPr>
            <w:r>
              <w:rPr>
                <w:sz w:val="20"/>
              </w:rPr>
              <w:t xml:space="preserve">2021 год</w:t>
            </w:r>
          </w:p>
        </w:tc>
        <w:tc>
          <w:tcPr>
            <w:tcW w:w="1144" w:type="dxa"/>
          </w:tcPr>
          <w:p>
            <w:pPr>
              <w:pStyle w:val="0"/>
              <w:jc w:val="center"/>
            </w:pPr>
            <w:r>
              <w:rPr>
                <w:sz w:val="20"/>
              </w:rPr>
              <w:t xml:space="preserve">2022 год</w:t>
            </w:r>
          </w:p>
        </w:tc>
        <w:tc>
          <w:tcPr>
            <w:tcW w:w="1144" w:type="dxa"/>
          </w:tcPr>
          <w:p>
            <w:pPr>
              <w:pStyle w:val="0"/>
              <w:jc w:val="center"/>
            </w:pPr>
            <w:r>
              <w:rPr>
                <w:sz w:val="20"/>
              </w:rPr>
              <w:t xml:space="preserve">2023 год</w:t>
            </w:r>
          </w:p>
        </w:tc>
        <w:tc>
          <w:tcPr>
            <w:tcW w:w="1144" w:type="dxa"/>
          </w:tcPr>
          <w:p>
            <w:pPr>
              <w:pStyle w:val="0"/>
              <w:jc w:val="center"/>
            </w:pPr>
            <w:r>
              <w:rPr>
                <w:sz w:val="20"/>
              </w:rPr>
              <w:t xml:space="preserve">2024 год</w:t>
            </w:r>
          </w:p>
        </w:tc>
        <w:tc>
          <w:tcPr>
            <w:tcW w:w="1024" w:type="dxa"/>
          </w:tcPr>
          <w:p>
            <w:pPr>
              <w:pStyle w:val="0"/>
              <w:jc w:val="center"/>
            </w:pPr>
            <w:r>
              <w:rPr>
                <w:sz w:val="20"/>
              </w:rPr>
              <w:t xml:space="preserve">2025 год</w:t>
            </w:r>
          </w:p>
        </w:tc>
        <w:tc>
          <w:tcPr>
            <w:vMerge w:val="continue"/>
          </w:tcPr>
          <w:p/>
        </w:tc>
      </w:tr>
      <w:tr>
        <w:tc>
          <w:tcPr>
            <w:tcW w:w="1849" w:type="dxa"/>
            <w:vAlign w:val="center"/>
          </w:tcPr>
          <w:p>
            <w:pPr>
              <w:pStyle w:val="0"/>
              <w:jc w:val="center"/>
            </w:pPr>
            <w:r>
              <w:rPr>
                <w:sz w:val="20"/>
              </w:rPr>
              <w:t xml:space="preserve">1</w:t>
            </w:r>
          </w:p>
        </w:tc>
        <w:tc>
          <w:tcPr>
            <w:tcW w:w="2835" w:type="dxa"/>
            <w:vAlign w:val="center"/>
          </w:tcPr>
          <w:p>
            <w:pPr>
              <w:pStyle w:val="0"/>
              <w:jc w:val="center"/>
            </w:pPr>
            <w:r>
              <w:rPr>
                <w:sz w:val="20"/>
              </w:rPr>
              <w:t xml:space="preserve">2</w:t>
            </w:r>
          </w:p>
        </w:tc>
        <w:tc>
          <w:tcPr>
            <w:tcW w:w="2749" w:type="dxa"/>
            <w:vAlign w:val="center"/>
          </w:tcPr>
          <w:p>
            <w:pPr>
              <w:pStyle w:val="0"/>
              <w:jc w:val="center"/>
            </w:pPr>
            <w:r>
              <w:rPr>
                <w:sz w:val="20"/>
              </w:rPr>
              <w:t xml:space="preserve">3</w:t>
            </w:r>
          </w:p>
        </w:tc>
        <w:tc>
          <w:tcPr>
            <w:tcW w:w="69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1587" w:type="dxa"/>
            <w:vAlign w:val="center"/>
          </w:tcPr>
          <w:p>
            <w:pPr>
              <w:pStyle w:val="0"/>
              <w:jc w:val="center"/>
            </w:pPr>
            <w:r>
              <w:rPr>
                <w:sz w:val="20"/>
              </w:rPr>
              <w:t xml:space="preserve">6</w:t>
            </w:r>
          </w:p>
        </w:tc>
        <w:tc>
          <w:tcPr>
            <w:tcW w:w="484" w:type="dxa"/>
            <w:vAlign w:val="center"/>
          </w:tcPr>
          <w:p>
            <w:pPr>
              <w:pStyle w:val="0"/>
              <w:jc w:val="center"/>
            </w:pPr>
            <w:r>
              <w:rPr>
                <w:sz w:val="20"/>
              </w:rPr>
              <w:t xml:space="preserve">7</w:t>
            </w:r>
          </w:p>
        </w:tc>
        <w:tc>
          <w:tcPr>
            <w:tcW w:w="1909" w:type="dxa"/>
            <w:vAlign w:val="center"/>
          </w:tcPr>
          <w:p>
            <w:pPr>
              <w:pStyle w:val="0"/>
              <w:jc w:val="center"/>
            </w:pPr>
            <w:r>
              <w:rPr>
                <w:sz w:val="20"/>
              </w:rPr>
              <w:t xml:space="preserve">8</w:t>
            </w:r>
          </w:p>
        </w:tc>
        <w:tc>
          <w:tcPr>
            <w:tcW w:w="1024" w:type="dxa"/>
            <w:vAlign w:val="center"/>
          </w:tcPr>
          <w:p>
            <w:pPr>
              <w:pStyle w:val="0"/>
              <w:jc w:val="center"/>
            </w:pPr>
            <w:r>
              <w:rPr>
                <w:sz w:val="20"/>
              </w:rPr>
              <w:t xml:space="preserve">9</w:t>
            </w:r>
          </w:p>
        </w:tc>
        <w:tc>
          <w:tcPr>
            <w:tcW w:w="1144" w:type="dxa"/>
            <w:vAlign w:val="center"/>
          </w:tcPr>
          <w:p>
            <w:pPr>
              <w:pStyle w:val="0"/>
              <w:jc w:val="center"/>
            </w:pPr>
            <w:r>
              <w:rPr>
                <w:sz w:val="20"/>
              </w:rPr>
              <w:t xml:space="preserve">10</w:t>
            </w:r>
          </w:p>
        </w:tc>
        <w:tc>
          <w:tcPr>
            <w:tcW w:w="1144" w:type="dxa"/>
            <w:vAlign w:val="center"/>
          </w:tcPr>
          <w:p>
            <w:pPr>
              <w:pStyle w:val="0"/>
              <w:jc w:val="center"/>
            </w:pPr>
            <w:r>
              <w:rPr>
                <w:sz w:val="20"/>
              </w:rPr>
              <w:t xml:space="preserve">11</w:t>
            </w:r>
          </w:p>
        </w:tc>
        <w:tc>
          <w:tcPr>
            <w:tcW w:w="1144" w:type="dxa"/>
            <w:vAlign w:val="center"/>
          </w:tcPr>
          <w:p>
            <w:pPr>
              <w:pStyle w:val="0"/>
              <w:jc w:val="center"/>
            </w:pPr>
            <w:r>
              <w:rPr>
                <w:sz w:val="20"/>
              </w:rPr>
              <w:t xml:space="preserve">12</w:t>
            </w:r>
          </w:p>
        </w:tc>
        <w:tc>
          <w:tcPr>
            <w:tcW w:w="1024" w:type="dxa"/>
            <w:vAlign w:val="center"/>
          </w:tcPr>
          <w:p>
            <w:pPr>
              <w:pStyle w:val="0"/>
              <w:jc w:val="center"/>
            </w:pPr>
            <w:r>
              <w:rPr>
                <w:sz w:val="20"/>
              </w:rPr>
              <w:t xml:space="preserve">13</w:t>
            </w:r>
          </w:p>
        </w:tc>
        <w:tc>
          <w:tcPr>
            <w:tcW w:w="1144" w:type="dxa"/>
            <w:vAlign w:val="center"/>
          </w:tcPr>
          <w:p>
            <w:pPr>
              <w:pStyle w:val="0"/>
              <w:jc w:val="center"/>
            </w:pPr>
            <w:r>
              <w:rPr>
                <w:sz w:val="20"/>
              </w:rPr>
              <w:t xml:space="preserve">14</w:t>
            </w:r>
          </w:p>
        </w:tc>
      </w:tr>
      <w:tr>
        <w:tc>
          <w:tcPr>
            <w:tcW w:w="1849" w:type="dxa"/>
            <w:vAlign w:val="center"/>
            <w:vMerge w:val="restart"/>
          </w:tcPr>
          <w:p>
            <w:pPr>
              <w:pStyle w:val="0"/>
              <w:jc w:val="center"/>
            </w:pPr>
            <w:r>
              <w:rPr>
                <w:sz w:val="20"/>
              </w:rPr>
              <w:t xml:space="preserve">Государственная программа Белгородской области</w:t>
            </w:r>
          </w:p>
        </w:tc>
        <w:tc>
          <w:tcPr>
            <w:tcW w:w="2835" w:type="dxa"/>
            <w:vAlign w:val="center"/>
            <w:vMerge w:val="restart"/>
          </w:tcPr>
          <w:p>
            <w:pPr>
              <w:pStyle w:val="0"/>
              <w:jc w:val="center"/>
            </w:pPr>
            <w:r>
              <w:rPr>
                <w:sz w:val="20"/>
              </w:rPr>
              <w:t xml:space="preserve">Развитие водного и лесного хозяйства Белгородской области, охрана окружающей среды</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r>
          </w:p>
        </w:tc>
        <w:tc>
          <w:tcPr>
            <w:tcW w:w="1587" w:type="dxa"/>
            <w:vAlign w:val="center"/>
          </w:tcPr>
          <w:p>
            <w:pPr>
              <w:pStyle w:val="0"/>
              <w:jc w:val="center"/>
            </w:pPr>
            <w:r>
              <w:rPr>
                <w:sz w:val="20"/>
              </w:rPr>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8070963,8</w:t>
            </w:r>
          </w:p>
        </w:tc>
        <w:tc>
          <w:tcPr>
            <w:tcW w:w="1024" w:type="dxa"/>
            <w:vAlign w:val="center"/>
          </w:tcPr>
          <w:p>
            <w:pPr>
              <w:pStyle w:val="0"/>
              <w:jc w:val="center"/>
            </w:pPr>
            <w:r>
              <w:rPr>
                <w:sz w:val="20"/>
              </w:rPr>
              <w:t xml:space="preserve">643706,6</w:t>
            </w:r>
          </w:p>
        </w:tc>
        <w:tc>
          <w:tcPr>
            <w:tcW w:w="1144" w:type="dxa"/>
            <w:vAlign w:val="center"/>
          </w:tcPr>
          <w:p>
            <w:pPr>
              <w:pStyle w:val="0"/>
              <w:jc w:val="center"/>
            </w:pPr>
            <w:r>
              <w:rPr>
                <w:sz w:val="20"/>
              </w:rPr>
              <w:t xml:space="preserve">1831865,7</w:t>
            </w:r>
          </w:p>
        </w:tc>
        <w:tc>
          <w:tcPr>
            <w:tcW w:w="1144" w:type="dxa"/>
            <w:vAlign w:val="center"/>
          </w:tcPr>
          <w:p>
            <w:pPr>
              <w:pStyle w:val="0"/>
              <w:jc w:val="center"/>
            </w:pPr>
            <w:r>
              <w:rPr>
                <w:sz w:val="20"/>
              </w:rPr>
              <w:t xml:space="preserve">1693663,7</w:t>
            </w:r>
          </w:p>
        </w:tc>
        <w:tc>
          <w:tcPr>
            <w:tcW w:w="1144" w:type="dxa"/>
            <w:vAlign w:val="center"/>
          </w:tcPr>
          <w:p>
            <w:pPr>
              <w:pStyle w:val="0"/>
              <w:jc w:val="center"/>
            </w:pPr>
            <w:r>
              <w:rPr>
                <w:sz w:val="20"/>
              </w:rPr>
              <w:t xml:space="preserve">1073198,4</w:t>
            </w:r>
          </w:p>
        </w:tc>
        <w:tc>
          <w:tcPr>
            <w:tcW w:w="1024" w:type="dxa"/>
            <w:vAlign w:val="center"/>
          </w:tcPr>
          <w:p>
            <w:pPr>
              <w:pStyle w:val="0"/>
              <w:jc w:val="center"/>
            </w:pPr>
            <w:r>
              <w:rPr>
                <w:sz w:val="20"/>
              </w:rPr>
              <w:t xml:space="preserve">627108,7</w:t>
            </w:r>
          </w:p>
        </w:tc>
        <w:tc>
          <w:tcPr>
            <w:tcW w:w="1144" w:type="dxa"/>
            <w:vAlign w:val="center"/>
          </w:tcPr>
          <w:p>
            <w:pPr>
              <w:pStyle w:val="0"/>
              <w:jc w:val="center"/>
            </w:pPr>
            <w:r>
              <w:rPr>
                <w:sz w:val="20"/>
              </w:rPr>
              <w:t xml:space="preserve">5869543,1</w:t>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208621,8</w:t>
            </w:r>
          </w:p>
        </w:tc>
        <w:tc>
          <w:tcPr>
            <w:tcW w:w="1024" w:type="dxa"/>
            <w:vAlign w:val="center"/>
          </w:tcPr>
          <w:p>
            <w:pPr>
              <w:pStyle w:val="0"/>
              <w:jc w:val="center"/>
            </w:pPr>
            <w:r>
              <w:rPr>
                <w:sz w:val="20"/>
              </w:rPr>
              <w:t xml:space="preserve">156270,3</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156270,3</w:t>
            </w:r>
          </w:p>
        </w:tc>
      </w:tr>
      <w:tr>
        <w:tc>
          <w:tcPr>
            <w:vMerge w:val="continue"/>
          </w:tcPr>
          <w:p/>
        </w:tc>
        <w:tc>
          <w:tcPr>
            <w:vMerge w:val="continue"/>
          </w:tcP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1565371,1</w:t>
            </w:r>
          </w:p>
        </w:tc>
        <w:tc>
          <w:tcPr>
            <w:tcW w:w="1024" w:type="dxa"/>
            <w:vAlign w:val="center"/>
          </w:tcPr>
          <w:p>
            <w:pPr>
              <w:pStyle w:val="0"/>
              <w:jc w:val="center"/>
            </w:pPr>
            <w:r>
              <w:rPr>
                <w:sz w:val="20"/>
              </w:rPr>
              <w:t xml:space="preserve">313355,6</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313355,6</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2928566,8</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1039705,8</w:t>
            </w:r>
          </w:p>
        </w:tc>
        <w:tc>
          <w:tcPr>
            <w:tcW w:w="1144" w:type="dxa"/>
            <w:vAlign w:val="center"/>
          </w:tcPr>
          <w:p>
            <w:pPr>
              <w:pStyle w:val="0"/>
              <w:jc w:val="center"/>
            </w:pPr>
            <w:r>
              <w:rPr>
                <w:sz w:val="20"/>
              </w:rPr>
              <w:t xml:space="preserve">956653,6</w:t>
            </w:r>
          </w:p>
        </w:tc>
        <w:tc>
          <w:tcPr>
            <w:tcW w:w="1144" w:type="dxa"/>
            <w:vAlign w:val="center"/>
          </w:tcPr>
          <w:p>
            <w:pPr>
              <w:pStyle w:val="0"/>
              <w:jc w:val="center"/>
            </w:pPr>
            <w:r>
              <w:rPr>
                <w:sz w:val="20"/>
              </w:rPr>
              <w:t xml:space="preserve">468041,8</w:t>
            </w:r>
          </w:p>
        </w:tc>
        <w:tc>
          <w:tcPr>
            <w:tcW w:w="1024" w:type="dxa"/>
            <w:vAlign w:val="center"/>
          </w:tcPr>
          <w:p>
            <w:pPr>
              <w:pStyle w:val="0"/>
              <w:jc w:val="center"/>
            </w:pPr>
            <w:r>
              <w:rPr>
                <w:sz w:val="20"/>
              </w:rPr>
              <w:t xml:space="preserve">464165,6</w:t>
            </w:r>
          </w:p>
        </w:tc>
        <w:tc>
          <w:tcPr>
            <w:tcW w:w="1144" w:type="dxa"/>
            <w:vAlign w:val="center"/>
          </w:tcPr>
          <w:p>
            <w:pPr>
              <w:pStyle w:val="0"/>
              <w:jc w:val="center"/>
            </w:pPr>
            <w:r>
              <w:rPr>
                <w:sz w:val="20"/>
              </w:rPr>
              <w:t xml:space="preserve">2928566,8</w:t>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1147497,2</w:t>
            </w:r>
          </w:p>
        </w:tc>
        <w:tc>
          <w:tcPr>
            <w:tcW w:w="1024" w:type="dxa"/>
            <w:vAlign w:val="center"/>
          </w:tcPr>
          <w:p>
            <w:pPr>
              <w:pStyle w:val="0"/>
              <w:jc w:val="center"/>
            </w:pPr>
            <w:r>
              <w:rPr>
                <w:sz w:val="20"/>
              </w:rPr>
              <w:t xml:space="preserve">118625,2</w:t>
            </w:r>
          </w:p>
        </w:tc>
        <w:tc>
          <w:tcPr>
            <w:tcW w:w="1144" w:type="dxa"/>
            <w:vAlign w:val="center"/>
          </w:tcPr>
          <w:p>
            <w:pPr>
              <w:pStyle w:val="0"/>
              <w:jc w:val="center"/>
            </w:pPr>
            <w:r>
              <w:rPr>
                <w:sz w:val="20"/>
              </w:rPr>
              <w:t xml:space="preserve">145375,4</w:t>
            </w:r>
          </w:p>
        </w:tc>
        <w:tc>
          <w:tcPr>
            <w:tcW w:w="1144" w:type="dxa"/>
            <w:vAlign w:val="center"/>
          </w:tcPr>
          <w:p>
            <w:pPr>
              <w:pStyle w:val="0"/>
              <w:jc w:val="center"/>
            </w:pPr>
            <w:r>
              <w:rPr>
                <w:sz w:val="20"/>
              </w:rPr>
              <w:t xml:space="preserve">127316,6</w:t>
            </w:r>
          </w:p>
        </w:tc>
        <w:tc>
          <w:tcPr>
            <w:tcW w:w="1144" w:type="dxa"/>
            <w:vAlign w:val="center"/>
          </w:tcPr>
          <w:p>
            <w:pPr>
              <w:pStyle w:val="0"/>
              <w:jc w:val="center"/>
            </w:pPr>
            <w:r>
              <w:rPr>
                <w:sz w:val="20"/>
              </w:rPr>
              <w:t xml:space="preserve">132403</w:t>
            </w:r>
          </w:p>
        </w:tc>
        <w:tc>
          <w:tcPr>
            <w:tcW w:w="1024" w:type="dxa"/>
            <w:vAlign w:val="center"/>
          </w:tcPr>
          <w:p>
            <w:pPr>
              <w:pStyle w:val="0"/>
              <w:jc w:val="center"/>
            </w:pPr>
            <w:r>
              <w:rPr>
                <w:sz w:val="20"/>
              </w:rPr>
              <w:t xml:space="preserve">136665,4</w:t>
            </w:r>
          </w:p>
        </w:tc>
        <w:tc>
          <w:tcPr>
            <w:tcW w:w="1144" w:type="dxa"/>
            <w:vAlign w:val="center"/>
          </w:tcPr>
          <w:p>
            <w:pPr>
              <w:pStyle w:val="0"/>
              <w:jc w:val="center"/>
            </w:pPr>
            <w:r>
              <w:rPr>
                <w:sz w:val="20"/>
              </w:rPr>
              <w:t xml:space="preserve">660385,6</w:t>
            </w:r>
          </w:p>
        </w:tc>
      </w:tr>
      <w:tr>
        <w:tc>
          <w:tcPr>
            <w:vMerge w:val="continue"/>
          </w:tcPr>
          <w:p/>
        </w:tc>
        <w:tc>
          <w:tcPr>
            <w:vMerge w:val="continue"/>
          </w:tcP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113845,0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0,0</w:t>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49187,0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0,0</w:t>
            </w:r>
          </w:p>
        </w:tc>
      </w:tr>
      <w:tr>
        <w:tc>
          <w:tcPr>
            <w:vMerge w:val="continue"/>
          </w:tcPr>
          <w:p/>
        </w:tc>
        <w:tc>
          <w:tcPr>
            <w:vMerge w:val="continue"/>
          </w:tcPr>
          <w:p/>
        </w:tc>
        <w:tc>
          <w:tcPr>
            <w:tcW w:w="2749" w:type="dxa"/>
            <w:vAlign w:val="center"/>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1583648,3</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586998,6</w:t>
            </w:r>
          </w:p>
        </w:tc>
        <w:tc>
          <w:tcPr>
            <w:tcW w:w="1144" w:type="dxa"/>
            <w:vAlign w:val="center"/>
          </w:tcPr>
          <w:p>
            <w:pPr>
              <w:pStyle w:val="0"/>
              <w:jc w:val="center"/>
            </w:pPr>
            <w:r>
              <w:rPr>
                <w:sz w:val="20"/>
              </w:rPr>
              <w:t xml:space="preserve">553729,5</w:t>
            </w:r>
          </w:p>
        </w:tc>
        <w:tc>
          <w:tcPr>
            <w:tcW w:w="1144" w:type="dxa"/>
            <w:vAlign w:val="center"/>
          </w:tcPr>
          <w:p>
            <w:pPr>
              <w:pStyle w:val="0"/>
              <w:jc w:val="center"/>
            </w:pPr>
            <w:r>
              <w:rPr>
                <w:sz w:val="20"/>
              </w:rPr>
              <w:t xml:space="preserve">442920,2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1583648,3</w:t>
            </w:r>
          </w:p>
        </w:tc>
      </w:tr>
      <w:tr>
        <w:tc>
          <w:tcPr>
            <w:vMerge w:val="continue"/>
          </w:tcPr>
          <w:p/>
        </w:tc>
        <w:tc>
          <w:tcPr>
            <w:vMerge w:val="continue"/>
          </w:tcP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281545,6</w:t>
            </w:r>
          </w:p>
        </w:tc>
        <w:tc>
          <w:tcPr>
            <w:tcW w:w="1024" w:type="dxa"/>
            <w:vAlign w:val="center"/>
          </w:tcPr>
          <w:p>
            <w:pPr>
              <w:pStyle w:val="0"/>
              <w:jc w:val="center"/>
            </w:pPr>
            <w:r>
              <w:rPr>
                <w:sz w:val="20"/>
              </w:rPr>
              <w:t xml:space="preserve">51035,5</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51035,5</w:t>
            </w:r>
          </w:p>
        </w:tc>
      </w:tr>
      <w:tr>
        <w:tc>
          <w:tcPr>
            <w:vMerge w:val="continue"/>
          </w:tcPr>
          <w:p/>
        </w:tc>
        <w:tc>
          <w:tcPr>
            <w:vMerge w:val="continue"/>
          </w:tcPr>
          <w:p/>
        </w:tc>
        <w:tc>
          <w:tcPr>
            <w:tcW w:w="2749" w:type="dxa"/>
            <w:vAlign w:val="center"/>
          </w:tcPr>
          <w:p>
            <w:pPr>
              <w:pStyle w:val="0"/>
              <w:jc w:val="center"/>
            </w:pPr>
            <w:r>
              <w:rPr>
                <w:sz w:val="20"/>
              </w:rPr>
              <w:t xml:space="preserve">Министерство экономического развития и промышленности Белгородской области, АНО "Зеленая инфраструктура городов"</w:t>
            </w:r>
          </w:p>
        </w:tc>
        <w:tc>
          <w:tcPr>
            <w:tcW w:w="694" w:type="dxa"/>
            <w:vAlign w:val="center"/>
          </w:tcPr>
          <w:p>
            <w:pPr>
              <w:pStyle w:val="0"/>
              <w:jc w:val="center"/>
            </w:pPr>
            <w:r>
              <w:rPr>
                <w:sz w:val="20"/>
              </w:rPr>
              <w:t xml:space="preserve">805</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171861</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59785,9</w:t>
            </w:r>
          </w:p>
        </w:tc>
        <w:tc>
          <w:tcPr>
            <w:tcW w:w="1144" w:type="dxa"/>
            <w:vAlign w:val="center"/>
          </w:tcPr>
          <w:p>
            <w:pPr>
              <w:pStyle w:val="0"/>
              <w:jc w:val="center"/>
            </w:pPr>
            <w:r>
              <w:rPr>
                <w:sz w:val="20"/>
              </w:rPr>
              <w:t xml:space="preserve">55964</w:t>
            </w:r>
          </w:p>
        </w:tc>
        <w:tc>
          <w:tcPr>
            <w:tcW w:w="1144" w:type="dxa"/>
            <w:vAlign w:val="center"/>
          </w:tcPr>
          <w:p>
            <w:pPr>
              <w:pStyle w:val="0"/>
              <w:jc w:val="center"/>
            </w:pPr>
            <w:r>
              <w:rPr>
                <w:sz w:val="20"/>
              </w:rPr>
              <w:t xml:space="preserve">29833,4</w:t>
            </w:r>
          </w:p>
        </w:tc>
        <w:tc>
          <w:tcPr>
            <w:tcW w:w="1024" w:type="dxa"/>
            <w:vAlign w:val="center"/>
          </w:tcPr>
          <w:p>
            <w:pPr>
              <w:pStyle w:val="0"/>
              <w:jc w:val="center"/>
            </w:pPr>
            <w:r>
              <w:rPr>
                <w:sz w:val="20"/>
              </w:rPr>
              <w:t xml:space="preserve">26277,7</w:t>
            </w:r>
          </w:p>
        </w:tc>
        <w:tc>
          <w:tcPr>
            <w:tcW w:w="1144" w:type="dxa"/>
            <w:vAlign w:val="center"/>
          </w:tcPr>
          <w:p>
            <w:pPr>
              <w:pStyle w:val="0"/>
              <w:jc w:val="center"/>
            </w:pPr>
            <w:r>
              <w:rPr>
                <w:sz w:val="20"/>
              </w:rPr>
              <w:t xml:space="preserve">171861</w:t>
            </w:r>
          </w:p>
        </w:tc>
      </w:tr>
      <w:tr>
        <w:tc>
          <w:tcPr>
            <w:vMerge w:val="continue"/>
          </w:tcPr>
          <w:p/>
        </w:tc>
        <w:tc>
          <w:tcPr>
            <w:vMerge w:val="continue"/>
          </w:tcPr>
          <w:p/>
        </w:tc>
        <w:tc>
          <w:tcPr>
            <w:tcW w:w="2749" w:type="dxa"/>
            <w:vAlign w:val="center"/>
          </w:tcPr>
          <w:p>
            <w:pPr>
              <w:pStyle w:val="0"/>
              <w:jc w:val="center"/>
            </w:pPr>
            <w:r>
              <w:rPr>
                <w:sz w:val="20"/>
              </w:rPr>
              <w:t xml:space="preserve">Департамент строительства и транспорта Белгородской области</w:t>
            </w:r>
          </w:p>
        </w:tc>
        <w:tc>
          <w:tcPr>
            <w:tcW w:w="694" w:type="dxa"/>
            <w:vAlign w:val="center"/>
          </w:tcPr>
          <w:p>
            <w:pPr>
              <w:pStyle w:val="0"/>
              <w:jc w:val="center"/>
            </w:pPr>
            <w:r>
              <w:rPr>
                <w:sz w:val="20"/>
              </w:rPr>
              <w:t xml:space="preserve">807</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20820,0</w:t>
            </w:r>
          </w:p>
        </w:tc>
        <w:tc>
          <w:tcPr>
            <w:tcW w:w="1024" w:type="dxa"/>
            <w:vAlign w:val="center"/>
          </w:tcPr>
          <w:p>
            <w:pPr>
              <w:pStyle w:val="0"/>
              <w:jc w:val="center"/>
            </w:pPr>
            <w:r>
              <w:rPr>
                <w:sz w:val="20"/>
              </w:rPr>
              <w:t xml:space="preserve">4420,0</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4420,0</w:t>
            </w:r>
          </w:p>
        </w:tc>
      </w:tr>
      <w:tr>
        <w:tc>
          <w:tcPr>
            <w:tcW w:w="1849" w:type="dxa"/>
            <w:vAlign w:val="center"/>
            <w:vMerge w:val="restart"/>
          </w:tcPr>
          <w:p>
            <w:pPr>
              <w:pStyle w:val="0"/>
              <w:jc w:val="center"/>
            </w:pPr>
            <w:r>
              <w:rPr>
                <w:sz w:val="20"/>
              </w:rPr>
              <w:t xml:space="preserve">Подпрограмма 1</w:t>
            </w:r>
          </w:p>
        </w:tc>
        <w:tc>
          <w:tcPr>
            <w:tcW w:w="2835" w:type="dxa"/>
            <w:vAlign w:val="center"/>
            <w:vMerge w:val="restart"/>
          </w:tcPr>
          <w:p>
            <w:pPr>
              <w:pStyle w:val="0"/>
              <w:jc w:val="center"/>
            </w:pPr>
            <w:r>
              <w:rPr>
                <w:sz w:val="20"/>
              </w:rPr>
              <w:t xml:space="preserve">Развитие лесного хозяйства</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r>
          </w:p>
        </w:tc>
        <w:tc>
          <w:tcPr>
            <w:tcW w:w="1587" w:type="dxa"/>
            <w:vAlign w:val="center"/>
          </w:tcPr>
          <w:p>
            <w:pPr>
              <w:pStyle w:val="0"/>
              <w:jc w:val="center"/>
            </w:pPr>
            <w:r>
              <w:rPr>
                <w:sz w:val="20"/>
              </w:rPr>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3012916,9</w:t>
            </w:r>
          </w:p>
        </w:tc>
        <w:tc>
          <w:tcPr>
            <w:tcW w:w="1024" w:type="dxa"/>
            <w:vAlign w:val="center"/>
          </w:tcPr>
          <w:p>
            <w:pPr>
              <w:pStyle w:val="0"/>
              <w:jc w:val="center"/>
            </w:pPr>
            <w:r>
              <w:rPr>
                <w:sz w:val="20"/>
              </w:rPr>
              <w:t xml:space="preserve">313355,6</w:t>
            </w:r>
          </w:p>
        </w:tc>
        <w:tc>
          <w:tcPr>
            <w:tcW w:w="1144" w:type="dxa"/>
            <w:vAlign w:val="center"/>
          </w:tcPr>
          <w:p>
            <w:pPr>
              <w:pStyle w:val="0"/>
              <w:jc w:val="center"/>
            </w:pPr>
            <w:r>
              <w:rPr>
                <w:sz w:val="20"/>
              </w:rPr>
              <w:t xml:space="preserve">369580,9</w:t>
            </w:r>
          </w:p>
        </w:tc>
        <w:tc>
          <w:tcPr>
            <w:tcW w:w="1144" w:type="dxa"/>
            <w:vAlign w:val="center"/>
          </w:tcPr>
          <w:p>
            <w:pPr>
              <w:pStyle w:val="0"/>
              <w:jc w:val="center"/>
            </w:pPr>
            <w:r>
              <w:rPr>
                <w:sz w:val="20"/>
              </w:rPr>
              <w:t xml:space="preserve">350910,5</w:t>
            </w:r>
          </w:p>
        </w:tc>
        <w:tc>
          <w:tcPr>
            <w:tcW w:w="1144" w:type="dxa"/>
            <w:vAlign w:val="center"/>
          </w:tcPr>
          <w:p>
            <w:pPr>
              <w:pStyle w:val="0"/>
              <w:jc w:val="center"/>
            </w:pPr>
            <w:r>
              <w:rPr>
                <w:sz w:val="20"/>
              </w:rPr>
              <w:t xml:space="preserve">371130,5</w:t>
            </w:r>
          </w:p>
        </w:tc>
        <w:tc>
          <w:tcPr>
            <w:tcW w:w="1024" w:type="dxa"/>
            <w:vAlign w:val="center"/>
          </w:tcPr>
          <w:p>
            <w:pPr>
              <w:pStyle w:val="0"/>
              <w:jc w:val="center"/>
            </w:pPr>
            <w:r>
              <w:rPr>
                <w:sz w:val="20"/>
              </w:rPr>
              <w:t xml:space="preserve">374100</w:t>
            </w:r>
          </w:p>
        </w:tc>
        <w:tc>
          <w:tcPr>
            <w:tcW w:w="1144" w:type="dxa"/>
            <w:vAlign w:val="center"/>
          </w:tcPr>
          <w:p>
            <w:pPr>
              <w:pStyle w:val="0"/>
              <w:jc w:val="center"/>
            </w:pPr>
            <w:r>
              <w:rPr>
                <w:sz w:val="20"/>
              </w:rPr>
              <w:t xml:space="preserve">1779077,5</w:t>
            </w:r>
          </w:p>
        </w:tc>
      </w:tr>
      <w:tr>
        <w:tc>
          <w:tcPr>
            <w:vMerge w:val="continue"/>
          </w:tcPr>
          <w:p/>
        </w:tc>
        <w:tc>
          <w:tcPr>
            <w:vMerge w:val="continue"/>
          </w:tcP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1547195,0</w:t>
            </w:r>
          </w:p>
        </w:tc>
        <w:tc>
          <w:tcPr>
            <w:tcW w:w="1024" w:type="dxa"/>
            <w:vAlign w:val="center"/>
          </w:tcPr>
          <w:p>
            <w:pPr>
              <w:pStyle w:val="0"/>
              <w:jc w:val="center"/>
            </w:pPr>
            <w:r>
              <w:rPr>
                <w:sz w:val="20"/>
              </w:rPr>
              <w:t xml:space="preserve">313355,6</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313355,6</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1465721,9</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369580,9</w:t>
            </w:r>
          </w:p>
        </w:tc>
        <w:tc>
          <w:tcPr>
            <w:tcW w:w="1144" w:type="dxa"/>
            <w:vAlign w:val="center"/>
          </w:tcPr>
          <w:p>
            <w:pPr>
              <w:pStyle w:val="0"/>
              <w:jc w:val="center"/>
            </w:pPr>
            <w:r>
              <w:rPr>
                <w:sz w:val="20"/>
              </w:rPr>
              <w:t xml:space="preserve">350910,5</w:t>
            </w:r>
          </w:p>
        </w:tc>
        <w:tc>
          <w:tcPr>
            <w:tcW w:w="1144" w:type="dxa"/>
            <w:vAlign w:val="center"/>
          </w:tcPr>
          <w:p>
            <w:pPr>
              <w:pStyle w:val="0"/>
              <w:jc w:val="center"/>
            </w:pPr>
            <w:r>
              <w:rPr>
                <w:sz w:val="20"/>
              </w:rPr>
              <w:t xml:space="preserve">371130,5</w:t>
            </w:r>
          </w:p>
        </w:tc>
        <w:tc>
          <w:tcPr>
            <w:tcW w:w="1024" w:type="dxa"/>
            <w:vAlign w:val="center"/>
          </w:tcPr>
          <w:p>
            <w:pPr>
              <w:pStyle w:val="0"/>
              <w:jc w:val="center"/>
            </w:pPr>
            <w:r>
              <w:rPr>
                <w:sz w:val="20"/>
              </w:rPr>
              <w:t xml:space="preserve">374100</w:t>
            </w:r>
          </w:p>
        </w:tc>
        <w:tc>
          <w:tcPr>
            <w:tcW w:w="1144" w:type="dxa"/>
            <w:vAlign w:val="center"/>
          </w:tcPr>
          <w:p>
            <w:pPr>
              <w:pStyle w:val="0"/>
              <w:jc w:val="center"/>
            </w:pPr>
            <w:r>
              <w:rPr>
                <w:sz w:val="20"/>
              </w:rPr>
              <w:t xml:space="preserve">1465721,9</w:t>
            </w:r>
          </w:p>
        </w:tc>
      </w:tr>
      <w:tr>
        <w:tc>
          <w:tcPr>
            <w:tcW w:w="1849" w:type="dxa"/>
            <w:vAlign w:val="center"/>
            <w:vMerge w:val="restart"/>
          </w:tcPr>
          <w:p>
            <w:pPr>
              <w:pStyle w:val="0"/>
              <w:jc w:val="center"/>
            </w:pPr>
            <w:r>
              <w:rPr>
                <w:sz w:val="20"/>
              </w:rPr>
              <w:t xml:space="preserve">Основное мероприятие 1.1</w:t>
            </w:r>
          </w:p>
        </w:tc>
        <w:tc>
          <w:tcPr>
            <w:tcW w:w="2835" w:type="dxa"/>
            <w:vAlign w:val="center"/>
            <w:vMerge w:val="restart"/>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12 1 01 90019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55029,4</w:t>
            </w:r>
          </w:p>
        </w:tc>
        <w:tc>
          <w:tcPr>
            <w:tcW w:w="1024" w:type="dxa"/>
            <w:vAlign w:val="center"/>
          </w:tcPr>
          <w:p>
            <w:pPr>
              <w:pStyle w:val="0"/>
              <w:jc w:val="center"/>
            </w:pPr>
            <w:r>
              <w:rPr>
                <w:sz w:val="20"/>
              </w:rPr>
              <w:t xml:space="preserve">2226,7</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2226,7</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12 1 01 90019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43779,2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9209,2</w:t>
            </w:r>
          </w:p>
        </w:tc>
        <w:tc>
          <w:tcPr>
            <w:tcW w:w="1144" w:type="dxa"/>
            <w:vAlign w:val="center"/>
          </w:tcPr>
          <w:p>
            <w:pPr>
              <w:pStyle w:val="0"/>
              <w:jc w:val="center"/>
            </w:pPr>
            <w:r>
              <w:rPr>
                <w:sz w:val="20"/>
              </w:rPr>
              <w:t xml:space="preserve">11463,7</w:t>
            </w:r>
          </w:p>
        </w:tc>
        <w:tc>
          <w:tcPr>
            <w:tcW w:w="1144" w:type="dxa"/>
            <w:vAlign w:val="center"/>
          </w:tcPr>
          <w:p>
            <w:pPr>
              <w:pStyle w:val="0"/>
              <w:jc w:val="center"/>
            </w:pPr>
            <w:r>
              <w:rPr>
                <w:sz w:val="20"/>
              </w:rPr>
              <w:t xml:space="preserve">11352,1</w:t>
            </w:r>
          </w:p>
        </w:tc>
        <w:tc>
          <w:tcPr>
            <w:tcW w:w="1024" w:type="dxa"/>
            <w:vAlign w:val="center"/>
          </w:tcPr>
          <w:p>
            <w:pPr>
              <w:pStyle w:val="0"/>
              <w:jc w:val="center"/>
            </w:pPr>
            <w:r>
              <w:rPr>
                <w:sz w:val="20"/>
              </w:rPr>
              <w:t xml:space="preserve">11754,2</w:t>
            </w:r>
          </w:p>
        </w:tc>
        <w:tc>
          <w:tcPr>
            <w:tcW w:w="1144" w:type="dxa"/>
            <w:vAlign w:val="center"/>
          </w:tcPr>
          <w:p>
            <w:pPr>
              <w:pStyle w:val="0"/>
              <w:jc w:val="center"/>
            </w:pPr>
            <w:r>
              <w:rPr>
                <w:sz w:val="20"/>
              </w:rPr>
              <w:t xml:space="preserve">43779,2</w:t>
            </w:r>
          </w:p>
        </w:tc>
      </w:tr>
      <w:tr>
        <w:tc>
          <w:tcPr>
            <w:tcW w:w="1849" w:type="dxa"/>
            <w:vAlign w:val="center"/>
            <w:vMerge w:val="restart"/>
          </w:tcPr>
          <w:p>
            <w:pPr>
              <w:pStyle w:val="0"/>
              <w:jc w:val="center"/>
            </w:pPr>
            <w:r>
              <w:rPr>
                <w:sz w:val="20"/>
              </w:rPr>
              <w:t xml:space="preserve">Основное мероприятие 1.2</w:t>
            </w:r>
          </w:p>
        </w:tc>
        <w:tc>
          <w:tcPr>
            <w:tcW w:w="2835" w:type="dxa"/>
            <w:vAlign w:val="center"/>
            <w:vMerge w:val="restart"/>
          </w:tcPr>
          <w:p>
            <w:pPr>
              <w:pStyle w:val="0"/>
              <w:jc w:val="center"/>
            </w:pPr>
            <w:r>
              <w:rPr>
                <w:sz w:val="20"/>
              </w:rPr>
              <w:t xml:space="preserve">Обеспечение деятельности (оказание услуг) государственных учреждений (организаций)</w:t>
            </w: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12 1 02 00590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1160364,9</w:t>
            </w:r>
          </w:p>
        </w:tc>
        <w:tc>
          <w:tcPr>
            <w:tcW w:w="1024" w:type="dxa"/>
            <w:vAlign w:val="center"/>
          </w:tcPr>
          <w:p>
            <w:pPr>
              <w:pStyle w:val="0"/>
              <w:jc w:val="center"/>
            </w:pPr>
            <w:r>
              <w:rPr>
                <w:sz w:val="20"/>
              </w:rPr>
              <w:t xml:space="preserve">175065,5</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175065,5</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12 1 02 00590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839945,3</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209443,7</w:t>
            </w:r>
          </w:p>
        </w:tc>
        <w:tc>
          <w:tcPr>
            <w:tcW w:w="1144" w:type="dxa"/>
            <w:vAlign w:val="center"/>
          </w:tcPr>
          <w:p>
            <w:pPr>
              <w:pStyle w:val="0"/>
              <w:jc w:val="center"/>
            </w:pPr>
            <w:r>
              <w:rPr>
                <w:sz w:val="20"/>
              </w:rPr>
              <w:t xml:space="preserve">199419,1</w:t>
            </w:r>
          </w:p>
        </w:tc>
        <w:tc>
          <w:tcPr>
            <w:tcW w:w="1144" w:type="dxa"/>
            <w:vAlign w:val="center"/>
          </w:tcPr>
          <w:p>
            <w:pPr>
              <w:pStyle w:val="0"/>
              <w:jc w:val="center"/>
            </w:pPr>
            <w:r>
              <w:rPr>
                <w:sz w:val="20"/>
              </w:rPr>
              <w:t xml:space="preserve">211529,5</w:t>
            </w:r>
          </w:p>
        </w:tc>
        <w:tc>
          <w:tcPr>
            <w:tcW w:w="1024" w:type="dxa"/>
            <w:vAlign w:val="center"/>
          </w:tcPr>
          <w:p>
            <w:pPr>
              <w:pStyle w:val="0"/>
              <w:jc w:val="center"/>
            </w:pPr>
            <w:r>
              <w:rPr>
                <w:sz w:val="20"/>
              </w:rPr>
              <w:t xml:space="preserve">219553</w:t>
            </w:r>
          </w:p>
        </w:tc>
        <w:tc>
          <w:tcPr>
            <w:tcW w:w="1144" w:type="dxa"/>
            <w:vAlign w:val="center"/>
          </w:tcPr>
          <w:p>
            <w:pPr>
              <w:pStyle w:val="0"/>
              <w:jc w:val="center"/>
            </w:pPr>
            <w:r>
              <w:rPr>
                <w:sz w:val="20"/>
              </w:rPr>
              <w:t xml:space="preserve">839945,3</w:t>
            </w:r>
          </w:p>
        </w:tc>
      </w:tr>
      <w:tr>
        <w:tc>
          <w:tcPr>
            <w:tcW w:w="1849" w:type="dxa"/>
            <w:vAlign w:val="center"/>
            <w:vMerge w:val="restart"/>
          </w:tcPr>
          <w:p>
            <w:pPr>
              <w:pStyle w:val="0"/>
              <w:jc w:val="center"/>
            </w:pPr>
            <w:r>
              <w:rPr>
                <w:sz w:val="20"/>
              </w:rPr>
              <w:t xml:space="preserve">Основное мероприятие 1.3</w:t>
            </w:r>
          </w:p>
        </w:tc>
        <w:tc>
          <w:tcPr>
            <w:tcW w:w="2835" w:type="dxa"/>
            <w:vAlign w:val="center"/>
            <w:vMerge w:val="restart"/>
          </w:tcPr>
          <w:p>
            <w:pPr>
              <w:pStyle w:val="0"/>
              <w:jc w:val="center"/>
            </w:pPr>
            <w:r>
              <w:rPr>
                <w:sz w:val="20"/>
              </w:rPr>
              <w:t xml:space="preserve">Осуществление органами государственной власти Российской Федерации отдельных полномочий в области лесных отношений</w:t>
            </w: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12 1 03 51290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239586,5</w:t>
            </w:r>
          </w:p>
        </w:tc>
        <w:tc>
          <w:tcPr>
            <w:tcW w:w="1024" w:type="dxa"/>
            <w:vAlign w:val="center"/>
          </w:tcPr>
          <w:p>
            <w:pPr>
              <w:pStyle w:val="0"/>
              <w:jc w:val="center"/>
            </w:pPr>
            <w:r>
              <w:rPr>
                <w:sz w:val="20"/>
              </w:rPr>
              <w:t xml:space="preserve">119846,4</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119846,4</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12 1 03 51290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438874,5</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127909,0</w:t>
            </w:r>
          </w:p>
        </w:tc>
        <w:tc>
          <w:tcPr>
            <w:tcW w:w="1144" w:type="dxa"/>
            <w:vAlign w:val="center"/>
          </w:tcPr>
          <w:p>
            <w:pPr>
              <w:pStyle w:val="0"/>
              <w:jc w:val="center"/>
            </w:pPr>
            <w:r>
              <w:rPr>
                <w:sz w:val="20"/>
              </w:rPr>
              <w:t xml:space="preserve">104573,6</w:t>
            </w:r>
          </w:p>
        </w:tc>
        <w:tc>
          <w:tcPr>
            <w:tcW w:w="1144" w:type="dxa"/>
            <w:vAlign w:val="center"/>
          </w:tcPr>
          <w:p>
            <w:pPr>
              <w:pStyle w:val="0"/>
              <w:jc w:val="center"/>
            </w:pPr>
            <w:r>
              <w:rPr>
                <w:sz w:val="20"/>
              </w:rPr>
              <w:t xml:space="preserve">102452,5</w:t>
            </w:r>
          </w:p>
        </w:tc>
        <w:tc>
          <w:tcPr>
            <w:tcW w:w="1024" w:type="dxa"/>
            <w:vAlign w:val="center"/>
          </w:tcPr>
          <w:p>
            <w:pPr>
              <w:pStyle w:val="0"/>
              <w:jc w:val="center"/>
            </w:pPr>
            <w:r>
              <w:rPr>
                <w:sz w:val="20"/>
              </w:rPr>
              <w:t xml:space="preserve">103939,4</w:t>
            </w:r>
          </w:p>
        </w:tc>
        <w:tc>
          <w:tcPr>
            <w:tcW w:w="1144" w:type="dxa"/>
            <w:vAlign w:val="center"/>
          </w:tcPr>
          <w:p>
            <w:pPr>
              <w:pStyle w:val="0"/>
              <w:jc w:val="center"/>
            </w:pPr>
            <w:r>
              <w:rPr>
                <w:sz w:val="20"/>
              </w:rPr>
              <w:t xml:space="preserve">438874,5</w:t>
            </w:r>
          </w:p>
        </w:tc>
      </w:tr>
      <w:tr>
        <w:tc>
          <w:tcPr>
            <w:tcW w:w="1849" w:type="dxa"/>
            <w:vAlign w:val="center"/>
            <w:vMerge w:val="restart"/>
          </w:tcPr>
          <w:p>
            <w:pPr>
              <w:pStyle w:val="0"/>
              <w:jc w:val="center"/>
            </w:pPr>
            <w:r>
              <w:rPr>
                <w:sz w:val="20"/>
              </w:rPr>
              <w:t xml:space="preserve">Основное мероприятие 1.4</w:t>
            </w:r>
          </w:p>
        </w:tc>
        <w:tc>
          <w:tcPr>
            <w:tcW w:w="2835" w:type="dxa"/>
            <w:vAlign w:val="center"/>
            <w:vMerge w:val="restart"/>
          </w:tcPr>
          <w:p>
            <w:pPr>
              <w:pStyle w:val="0"/>
              <w:jc w:val="center"/>
            </w:pPr>
            <w:r>
              <w:rPr>
                <w:sz w:val="20"/>
              </w:rPr>
              <w:t xml:space="preserve">Приобретение специализированной лесопожарной техники и оборудования</w:t>
            </w: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12104R1310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189,0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12104R1310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tcPr>
          <w:p>
            <w:pPr>
              <w:pStyle w:val="0"/>
              <w:jc w:val="center"/>
            </w:pPr>
            <w:r>
              <w:rPr>
                <w:sz w:val="20"/>
              </w:rPr>
              <w:t xml:space="preserve">Основное мероприятие 1.5</w:t>
            </w:r>
          </w:p>
        </w:tc>
        <w:tc>
          <w:tcPr>
            <w:tcW w:w="2835" w:type="dxa"/>
            <w:vAlign w:val="center"/>
          </w:tcPr>
          <w:p>
            <w:pPr>
              <w:pStyle w:val="0"/>
              <w:jc w:val="center"/>
            </w:pPr>
            <w:r>
              <w:rPr>
                <w:sz w:val="20"/>
              </w:rPr>
              <w:t xml:space="preserve">Создание полезащитных полос</w:t>
            </w: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12 1 05 00590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127321,2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18000,0</w:t>
            </w:r>
          </w:p>
        </w:tc>
        <w:tc>
          <w:tcPr>
            <w:tcW w:w="1144" w:type="dxa"/>
            <w:vAlign w:val="center"/>
          </w:tcPr>
          <w:p>
            <w:pPr>
              <w:pStyle w:val="0"/>
              <w:jc w:val="center"/>
            </w:pPr>
            <w:r>
              <w:rPr>
                <w:sz w:val="20"/>
              </w:rPr>
              <w:t xml:space="preserve">15653,3</w:t>
            </w:r>
          </w:p>
        </w:tc>
        <w:tc>
          <w:tcPr>
            <w:tcW w:w="1144" w:type="dxa"/>
            <w:vAlign w:val="center"/>
          </w:tcPr>
          <w:p>
            <w:pPr>
              <w:pStyle w:val="0"/>
              <w:jc w:val="center"/>
            </w:pPr>
            <w:r>
              <w:rPr>
                <w:sz w:val="20"/>
              </w:rPr>
              <w:t xml:space="preserve">18000,0</w:t>
            </w:r>
          </w:p>
        </w:tc>
        <w:tc>
          <w:tcPr>
            <w:tcW w:w="1024" w:type="dxa"/>
            <w:vAlign w:val="center"/>
          </w:tcPr>
          <w:p>
            <w:pPr>
              <w:pStyle w:val="0"/>
              <w:jc w:val="center"/>
            </w:pPr>
            <w:r>
              <w:rPr>
                <w:sz w:val="20"/>
              </w:rPr>
              <w:t xml:space="preserve">18000,0</w:t>
            </w:r>
          </w:p>
        </w:tc>
        <w:tc>
          <w:tcPr>
            <w:tcW w:w="1144" w:type="dxa"/>
            <w:vAlign w:val="center"/>
          </w:tcPr>
          <w:p>
            <w:pPr>
              <w:pStyle w:val="0"/>
              <w:jc w:val="center"/>
            </w:pPr>
            <w:r>
              <w:rPr>
                <w:sz w:val="20"/>
              </w:rPr>
              <w:t xml:space="preserve">69653,3</w:t>
            </w:r>
          </w:p>
        </w:tc>
      </w:tr>
      <w:tr>
        <w:tc>
          <w:tcPr>
            <w:tcW w:w="1849" w:type="dxa"/>
            <w:vAlign w:val="center"/>
            <w:vMerge w:val="restart"/>
          </w:tcPr>
          <w:p>
            <w:pPr>
              <w:pStyle w:val="0"/>
              <w:jc w:val="center"/>
            </w:pPr>
            <w:r>
              <w:rPr>
                <w:sz w:val="20"/>
              </w:rPr>
              <w:t xml:space="preserve">Проект 1.GA</w:t>
            </w:r>
          </w:p>
        </w:tc>
        <w:tc>
          <w:tcPr>
            <w:tcW w:w="2835" w:type="dxa"/>
            <w:vAlign w:val="center"/>
            <w:vMerge w:val="restart"/>
          </w:tcPr>
          <w:p>
            <w:pPr>
              <w:pStyle w:val="0"/>
              <w:jc w:val="center"/>
            </w:pPr>
            <w:r>
              <w:rPr>
                <w:sz w:val="20"/>
              </w:rPr>
              <w:t xml:space="preserve">Сохранение лесов</w:t>
            </w: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GA</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34357,3</w:t>
            </w:r>
          </w:p>
        </w:tc>
        <w:tc>
          <w:tcPr>
            <w:tcW w:w="1024" w:type="dxa"/>
            <w:vAlign w:val="center"/>
          </w:tcPr>
          <w:p>
            <w:pPr>
              <w:pStyle w:val="0"/>
              <w:jc w:val="center"/>
            </w:pPr>
            <w:r>
              <w:rPr>
                <w:sz w:val="20"/>
              </w:rPr>
              <w:t xml:space="preserve">16217,0</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16217,0</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0407</w:t>
            </w:r>
          </w:p>
        </w:tc>
        <w:tc>
          <w:tcPr>
            <w:tcW w:w="1587" w:type="dxa"/>
            <w:vAlign w:val="center"/>
          </w:tcPr>
          <w:p>
            <w:pPr>
              <w:pStyle w:val="0"/>
              <w:jc w:val="center"/>
            </w:pPr>
            <w:r>
              <w:rPr>
                <w:sz w:val="20"/>
              </w:rPr>
              <w:t xml:space="preserve">12 1 GA</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73469,6</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5019</w:t>
            </w:r>
          </w:p>
        </w:tc>
        <w:tc>
          <w:tcPr>
            <w:tcW w:w="1144" w:type="dxa"/>
            <w:vAlign w:val="center"/>
          </w:tcPr>
          <w:p>
            <w:pPr>
              <w:pStyle w:val="0"/>
              <w:jc w:val="center"/>
            </w:pPr>
            <w:r>
              <w:rPr>
                <w:sz w:val="20"/>
              </w:rPr>
              <w:t xml:space="preserve">19800,8</w:t>
            </w:r>
          </w:p>
        </w:tc>
        <w:tc>
          <w:tcPr>
            <w:tcW w:w="1144" w:type="dxa"/>
            <w:vAlign w:val="center"/>
          </w:tcPr>
          <w:p>
            <w:pPr>
              <w:pStyle w:val="0"/>
              <w:jc w:val="center"/>
            </w:pPr>
            <w:r>
              <w:rPr>
                <w:sz w:val="20"/>
              </w:rPr>
              <w:t xml:space="preserve">27796,4</w:t>
            </w:r>
          </w:p>
        </w:tc>
        <w:tc>
          <w:tcPr>
            <w:tcW w:w="1024" w:type="dxa"/>
            <w:vAlign w:val="center"/>
          </w:tcPr>
          <w:p>
            <w:pPr>
              <w:pStyle w:val="0"/>
              <w:jc w:val="center"/>
            </w:pPr>
            <w:r>
              <w:rPr>
                <w:sz w:val="20"/>
              </w:rPr>
              <w:t xml:space="preserve">20853,4</w:t>
            </w:r>
          </w:p>
        </w:tc>
        <w:tc>
          <w:tcPr>
            <w:tcW w:w="1144" w:type="dxa"/>
            <w:vAlign w:val="center"/>
          </w:tcPr>
          <w:p>
            <w:pPr>
              <w:pStyle w:val="0"/>
              <w:jc w:val="center"/>
            </w:pPr>
            <w:r>
              <w:rPr>
                <w:sz w:val="20"/>
              </w:rPr>
              <w:t xml:space="preserve">73469,6</w:t>
            </w:r>
          </w:p>
        </w:tc>
      </w:tr>
      <w:tr>
        <w:tc>
          <w:tcPr>
            <w:tcW w:w="1849" w:type="dxa"/>
            <w:vAlign w:val="center"/>
            <w:vMerge w:val="restart"/>
          </w:tcPr>
          <w:p>
            <w:pPr>
              <w:pStyle w:val="0"/>
              <w:jc w:val="center"/>
            </w:pPr>
            <w:r>
              <w:rPr>
                <w:sz w:val="20"/>
              </w:rPr>
              <w:t xml:space="preserve">Подпрограмма 2</w:t>
            </w:r>
          </w:p>
        </w:tc>
        <w:tc>
          <w:tcPr>
            <w:tcW w:w="2835" w:type="dxa"/>
            <w:vAlign w:val="center"/>
            <w:vMerge w:val="restart"/>
          </w:tcPr>
          <w:p>
            <w:pPr>
              <w:pStyle w:val="0"/>
              <w:jc w:val="center"/>
            </w:pPr>
            <w:r>
              <w:rPr>
                <w:sz w:val="20"/>
              </w:rPr>
              <w:t xml:space="preserve">Развитие водохозяйственного комплекса</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1523726</w:t>
            </w:r>
          </w:p>
        </w:tc>
        <w:tc>
          <w:tcPr>
            <w:tcW w:w="1024" w:type="dxa"/>
            <w:vAlign w:val="center"/>
          </w:tcPr>
          <w:p>
            <w:pPr>
              <w:pStyle w:val="0"/>
              <w:jc w:val="center"/>
            </w:pPr>
            <w:r>
              <w:rPr>
                <w:sz w:val="20"/>
              </w:rPr>
              <w:t xml:space="preserve">149924,7</w:t>
            </w:r>
          </w:p>
        </w:tc>
        <w:tc>
          <w:tcPr>
            <w:tcW w:w="1144" w:type="dxa"/>
            <w:vAlign w:val="center"/>
          </w:tcPr>
          <w:p>
            <w:pPr>
              <w:pStyle w:val="0"/>
              <w:jc w:val="center"/>
            </w:pPr>
            <w:r>
              <w:rPr>
                <w:sz w:val="20"/>
              </w:rPr>
              <w:t xml:space="preserve">641212,4</w:t>
            </w:r>
          </w:p>
        </w:tc>
        <w:tc>
          <w:tcPr>
            <w:tcW w:w="1144" w:type="dxa"/>
            <w:vAlign w:val="center"/>
          </w:tcPr>
          <w:p>
            <w:pPr>
              <w:pStyle w:val="0"/>
              <w:jc w:val="center"/>
            </w:pPr>
            <w:r>
              <w:rPr>
                <w:sz w:val="20"/>
              </w:rPr>
              <w:t xml:space="preserve">575497,5</w:t>
            </w:r>
          </w:p>
        </w:tc>
        <w:tc>
          <w:tcPr>
            <w:tcW w:w="1144" w:type="dxa"/>
            <w:vAlign w:val="center"/>
          </w:tcPr>
          <w:p>
            <w:pPr>
              <w:pStyle w:val="0"/>
              <w:jc w:val="center"/>
            </w:pPr>
            <w:r>
              <w:rPr>
                <w:sz w:val="20"/>
              </w:rPr>
              <w:t xml:space="preserve">65606,2</w:t>
            </w:r>
          </w:p>
        </w:tc>
        <w:tc>
          <w:tcPr>
            <w:tcW w:w="1024" w:type="dxa"/>
            <w:vAlign w:val="center"/>
          </w:tcPr>
          <w:p>
            <w:pPr>
              <w:pStyle w:val="0"/>
              <w:jc w:val="center"/>
            </w:pPr>
            <w:r>
              <w:rPr>
                <w:sz w:val="20"/>
              </w:rPr>
              <w:t xml:space="preserve">57704,8</w:t>
            </w:r>
          </w:p>
        </w:tc>
        <w:tc>
          <w:tcPr>
            <w:tcW w:w="1144" w:type="dxa"/>
            <w:vAlign w:val="center"/>
          </w:tcPr>
          <w:p>
            <w:pPr>
              <w:pStyle w:val="0"/>
              <w:jc w:val="center"/>
            </w:pPr>
            <w:r>
              <w:rPr>
                <w:sz w:val="20"/>
              </w:rPr>
              <w:t xml:space="preserve">1489945,6</w:t>
            </w:r>
          </w:p>
        </w:tc>
      </w:tr>
      <w:tr>
        <w:tc>
          <w:tcPr>
            <w:vMerge w:val="continue"/>
          </w:tcPr>
          <w:p/>
        </w:tc>
        <w:tc>
          <w:tcPr>
            <w:vMerge w:val="continue"/>
          </w:tcP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900,0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900,0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181905,1</w:t>
            </w:r>
          </w:p>
        </w:tc>
        <w:tc>
          <w:tcPr>
            <w:tcW w:w="1024" w:type="dxa"/>
            <w:vAlign w:val="center"/>
          </w:tcPr>
          <w:p>
            <w:pPr>
              <w:pStyle w:val="0"/>
              <w:jc w:val="center"/>
            </w:pPr>
            <w:r>
              <w:rPr>
                <w:sz w:val="20"/>
              </w:rPr>
              <w:t xml:space="preserve">149924,7</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149924,7</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1340020,9</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641212,4</w:t>
            </w:r>
          </w:p>
        </w:tc>
        <w:tc>
          <w:tcPr>
            <w:tcW w:w="1144" w:type="dxa"/>
            <w:vAlign w:val="center"/>
          </w:tcPr>
          <w:p>
            <w:pPr>
              <w:pStyle w:val="0"/>
              <w:jc w:val="center"/>
            </w:pPr>
            <w:r>
              <w:rPr>
                <w:sz w:val="20"/>
              </w:rPr>
              <w:t xml:space="preserve">575497,5</w:t>
            </w:r>
          </w:p>
        </w:tc>
        <w:tc>
          <w:tcPr>
            <w:tcW w:w="1144" w:type="dxa"/>
            <w:vAlign w:val="center"/>
          </w:tcPr>
          <w:p>
            <w:pPr>
              <w:pStyle w:val="0"/>
              <w:jc w:val="center"/>
            </w:pPr>
            <w:r>
              <w:rPr>
                <w:sz w:val="20"/>
              </w:rPr>
              <w:t xml:space="preserve">65606,2</w:t>
            </w:r>
          </w:p>
        </w:tc>
        <w:tc>
          <w:tcPr>
            <w:tcW w:w="1024" w:type="dxa"/>
            <w:vAlign w:val="center"/>
          </w:tcPr>
          <w:p>
            <w:pPr>
              <w:pStyle w:val="0"/>
              <w:jc w:val="center"/>
            </w:pPr>
            <w:r>
              <w:rPr>
                <w:sz w:val="20"/>
              </w:rPr>
              <w:t xml:space="preserve">57704,8</w:t>
            </w:r>
          </w:p>
        </w:tc>
        <w:tc>
          <w:tcPr>
            <w:tcW w:w="1144" w:type="dxa"/>
            <w:vAlign w:val="center"/>
          </w:tcPr>
          <w:p>
            <w:pPr>
              <w:pStyle w:val="0"/>
              <w:jc w:val="center"/>
            </w:pPr>
            <w:r>
              <w:rPr>
                <w:sz w:val="20"/>
              </w:rPr>
              <w:t xml:space="preserve">1340020,9</w:t>
            </w:r>
          </w:p>
        </w:tc>
      </w:tr>
      <w:tr>
        <w:tc>
          <w:tcPr>
            <w:tcW w:w="1849" w:type="dxa"/>
            <w:vAlign w:val="center"/>
            <w:vMerge w:val="restart"/>
          </w:tcPr>
          <w:p>
            <w:pPr>
              <w:pStyle w:val="0"/>
              <w:jc w:val="center"/>
            </w:pPr>
            <w:r>
              <w:rPr>
                <w:sz w:val="20"/>
              </w:rPr>
              <w:t xml:space="preserve">Основное мероприятие 2.1</w:t>
            </w:r>
          </w:p>
        </w:tc>
        <w:tc>
          <w:tcPr>
            <w:tcW w:w="2835" w:type="dxa"/>
            <w:vAlign w:val="center"/>
            <w:vMerge w:val="restart"/>
          </w:tcPr>
          <w:p>
            <w:pPr>
              <w:pStyle w:val="0"/>
              <w:jc w:val="center"/>
            </w:pPr>
            <w:r>
              <w:rPr>
                <w:sz w:val="20"/>
              </w:rPr>
              <w:t xml:space="preserve">Осуществление органами государственной власти субъекта Российской Федерации отдельных полномочий в области водных отношений</w:t>
            </w: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12 2 01 51280</w:t>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145899,1</w:t>
            </w:r>
          </w:p>
        </w:tc>
        <w:tc>
          <w:tcPr>
            <w:tcW w:w="1024" w:type="dxa"/>
            <w:vAlign w:val="center"/>
          </w:tcPr>
          <w:p>
            <w:pPr>
              <w:pStyle w:val="0"/>
              <w:jc w:val="center"/>
            </w:pPr>
            <w:r>
              <w:rPr>
                <w:sz w:val="20"/>
              </w:rPr>
              <w:t xml:space="preserve">140163,6</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140163,6</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12 2 01 51280</w:t>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22078,3</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5292,0</w:t>
            </w:r>
          </w:p>
        </w:tc>
        <w:tc>
          <w:tcPr>
            <w:tcW w:w="1144" w:type="dxa"/>
            <w:vAlign w:val="center"/>
          </w:tcPr>
          <w:p>
            <w:pPr>
              <w:pStyle w:val="0"/>
              <w:jc w:val="center"/>
            </w:pPr>
            <w:r>
              <w:rPr>
                <w:sz w:val="20"/>
              </w:rPr>
              <w:t xml:space="preserve">5605,3</w:t>
            </w:r>
          </w:p>
        </w:tc>
        <w:tc>
          <w:tcPr>
            <w:tcW w:w="1144" w:type="dxa"/>
            <w:vAlign w:val="center"/>
          </w:tcPr>
          <w:p>
            <w:pPr>
              <w:pStyle w:val="0"/>
              <w:jc w:val="center"/>
            </w:pPr>
            <w:r>
              <w:rPr>
                <w:sz w:val="20"/>
              </w:rPr>
              <w:t xml:space="preserve">5590,5</w:t>
            </w:r>
          </w:p>
        </w:tc>
        <w:tc>
          <w:tcPr>
            <w:tcW w:w="1024" w:type="dxa"/>
            <w:vAlign w:val="center"/>
          </w:tcPr>
          <w:p>
            <w:pPr>
              <w:pStyle w:val="0"/>
              <w:jc w:val="center"/>
            </w:pPr>
            <w:r>
              <w:rPr>
                <w:sz w:val="20"/>
              </w:rPr>
              <w:t xml:space="preserve">5590,5</w:t>
            </w:r>
          </w:p>
        </w:tc>
        <w:tc>
          <w:tcPr>
            <w:tcW w:w="1144" w:type="dxa"/>
            <w:vAlign w:val="center"/>
          </w:tcPr>
          <w:p>
            <w:pPr>
              <w:pStyle w:val="0"/>
              <w:jc w:val="center"/>
            </w:pPr>
            <w:r>
              <w:rPr>
                <w:sz w:val="20"/>
              </w:rPr>
              <w:t xml:space="preserve">22078,3</w:t>
            </w:r>
          </w:p>
        </w:tc>
      </w:tr>
      <w:tr>
        <w:tc>
          <w:tcPr>
            <w:tcW w:w="1849" w:type="dxa"/>
            <w:vAlign w:val="center"/>
            <w:vMerge w:val="restart"/>
          </w:tcPr>
          <w:p>
            <w:pPr>
              <w:pStyle w:val="0"/>
              <w:jc w:val="center"/>
            </w:pPr>
            <w:r>
              <w:rPr>
                <w:sz w:val="20"/>
              </w:rPr>
              <w:t xml:space="preserve">Основное мероприятие 2.2</w:t>
            </w:r>
          </w:p>
        </w:tc>
        <w:tc>
          <w:tcPr>
            <w:tcW w:w="2835" w:type="dxa"/>
            <w:vAlign w:val="center"/>
            <w:vMerge w:val="restart"/>
          </w:tcPr>
          <w:p>
            <w:pPr>
              <w:pStyle w:val="0"/>
              <w:jc w:val="center"/>
            </w:pPr>
            <w:r>
              <w:rPr>
                <w:sz w:val="20"/>
              </w:rPr>
              <w:t xml:space="preserve">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12 2 2999</w:t>
            </w:r>
          </w:p>
        </w:tc>
        <w:tc>
          <w:tcPr>
            <w:tcW w:w="484" w:type="dxa"/>
            <w:vAlign w:val="center"/>
          </w:tcPr>
          <w:p>
            <w:pPr>
              <w:pStyle w:val="0"/>
              <w:jc w:val="center"/>
            </w:pPr>
            <w:r>
              <w:rPr>
                <w:sz w:val="20"/>
              </w:rPr>
              <w:t xml:space="preserve">244</w:t>
            </w:r>
          </w:p>
        </w:tc>
        <w:tc>
          <w:tcPr>
            <w:tcW w:w="1909" w:type="dxa"/>
            <w:vAlign w:val="center"/>
          </w:tcPr>
          <w:p>
            <w:pPr>
              <w:pStyle w:val="0"/>
              <w:jc w:val="center"/>
            </w:pPr>
            <w:r>
              <w:rPr>
                <w:sz w:val="20"/>
              </w:rPr>
              <w:t xml:space="preserve">900,0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12 2 2999</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900,0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02 R0160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26244,9</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02 R0650</w:t>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9761,1</w:t>
            </w:r>
          </w:p>
        </w:tc>
        <w:tc>
          <w:tcPr>
            <w:tcW w:w="1024" w:type="dxa"/>
            <w:vAlign w:val="center"/>
          </w:tcPr>
          <w:p>
            <w:pPr>
              <w:pStyle w:val="0"/>
              <w:jc w:val="center"/>
            </w:pPr>
            <w:r>
              <w:rPr>
                <w:sz w:val="20"/>
              </w:rPr>
              <w:t xml:space="preserve">9761,1</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9761,1</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02 R0650</w:t>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86814,7</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54424,9</w:t>
            </w:r>
          </w:p>
        </w:tc>
        <w:tc>
          <w:tcPr>
            <w:tcW w:w="1144" w:type="dxa"/>
            <w:vAlign w:val="center"/>
          </w:tcPr>
          <w:p>
            <w:pPr>
              <w:pStyle w:val="0"/>
              <w:jc w:val="center"/>
            </w:pPr>
            <w:r>
              <w:rPr>
                <w:sz w:val="20"/>
              </w:rPr>
              <w:t xml:space="preserve">17971,2</w:t>
            </w:r>
          </w:p>
        </w:tc>
        <w:tc>
          <w:tcPr>
            <w:tcW w:w="1144" w:type="dxa"/>
            <w:vAlign w:val="center"/>
          </w:tcPr>
          <w:p>
            <w:pPr>
              <w:pStyle w:val="0"/>
              <w:jc w:val="center"/>
            </w:pPr>
            <w:r>
              <w:rPr>
                <w:sz w:val="20"/>
              </w:rPr>
            </w:r>
          </w:p>
        </w:tc>
        <w:tc>
          <w:tcPr>
            <w:tcW w:w="1024" w:type="dxa"/>
            <w:vAlign w:val="center"/>
          </w:tcPr>
          <w:p>
            <w:pPr>
              <w:pStyle w:val="0"/>
              <w:jc w:val="center"/>
            </w:pPr>
            <w:r>
              <w:rPr>
                <w:sz w:val="20"/>
              </w:rPr>
              <w:t xml:space="preserve">14418,6</w:t>
            </w:r>
          </w:p>
        </w:tc>
        <w:tc>
          <w:tcPr>
            <w:tcW w:w="1144" w:type="dxa"/>
            <w:vAlign w:val="center"/>
          </w:tcPr>
          <w:p>
            <w:pPr>
              <w:pStyle w:val="0"/>
              <w:jc w:val="center"/>
            </w:pPr>
            <w:r>
              <w:rPr>
                <w:sz w:val="20"/>
              </w:rPr>
              <w:t xml:space="preserve">86814,7</w:t>
            </w:r>
          </w:p>
        </w:tc>
      </w:tr>
      <w:tr>
        <w:tc>
          <w:tcPr>
            <w:tcW w:w="1849" w:type="dxa"/>
            <w:vAlign w:val="center"/>
          </w:tcPr>
          <w:p>
            <w:pPr>
              <w:pStyle w:val="0"/>
              <w:jc w:val="center"/>
            </w:pPr>
            <w:r>
              <w:rPr>
                <w:sz w:val="20"/>
              </w:rPr>
              <w:t xml:space="preserve">Основное мероприятие 2.3</w:t>
            </w:r>
          </w:p>
        </w:tc>
        <w:tc>
          <w:tcPr>
            <w:tcW w:w="2835" w:type="dxa"/>
            <w:vAlign w:val="center"/>
          </w:tcPr>
          <w:p>
            <w:pPr>
              <w:pStyle w:val="0"/>
              <w:jc w:val="center"/>
            </w:pPr>
            <w:r>
              <w:rPr>
                <w:sz w:val="20"/>
              </w:rPr>
              <w:t xml:space="preserve">Проведение мероприятий по предупреждению чрезвычайных ситуаций межмуниципального и регионального характера</w:t>
            </w: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r>
          </w:p>
        </w:tc>
        <w:tc>
          <w:tcPr>
            <w:tcW w:w="484" w:type="dxa"/>
            <w:vAlign w:val="center"/>
          </w:tcPr>
          <w:p>
            <w:pPr>
              <w:pStyle w:val="0"/>
              <w:jc w:val="center"/>
            </w:pPr>
            <w:r>
              <w:rPr>
                <w:sz w:val="20"/>
              </w:rPr>
            </w:r>
          </w:p>
        </w:tc>
        <w:tc>
          <w:tcPr>
            <w:tcW w:w="1909" w:type="dxa"/>
            <w:vAlign w:val="center"/>
          </w:tcPr>
          <w:p>
            <w:pPr>
              <w:pStyle w:val="0"/>
              <w:jc w:val="center"/>
            </w:pPr>
            <w:r>
              <w:rPr>
                <w:sz w:val="20"/>
              </w:rPr>
              <w:t xml:space="preserve">1174987,9</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574995,5</w:t>
            </w:r>
          </w:p>
        </w:tc>
        <w:tc>
          <w:tcPr>
            <w:tcW w:w="1144" w:type="dxa"/>
            <w:vAlign w:val="center"/>
          </w:tcPr>
          <w:p>
            <w:pPr>
              <w:pStyle w:val="0"/>
              <w:jc w:val="center"/>
            </w:pPr>
            <w:r>
              <w:rPr>
                <w:sz w:val="20"/>
              </w:rPr>
              <w:t xml:space="preserve">531421</w:t>
            </w:r>
          </w:p>
        </w:tc>
        <w:tc>
          <w:tcPr>
            <w:tcW w:w="1144" w:type="dxa"/>
            <w:vAlign w:val="center"/>
          </w:tcPr>
          <w:p>
            <w:pPr>
              <w:pStyle w:val="0"/>
              <w:jc w:val="center"/>
            </w:pPr>
            <w:r>
              <w:rPr>
                <w:sz w:val="20"/>
              </w:rPr>
              <w:t xml:space="preserve">34015,7</w:t>
            </w:r>
          </w:p>
        </w:tc>
        <w:tc>
          <w:tcPr>
            <w:tcW w:w="1024" w:type="dxa"/>
            <w:vAlign w:val="center"/>
          </w:tcPr>
          <w:p>
            <w:pPr>
              <w:pStyle w:val="0"/>
              <w:jc w:val="center"/>
            </w:pPr>
            <w:r>
              <w:rPr>
                <w:sz w:val="20"/>
              </w:rPr>
              <w:t xml:space="preserve">34555,7</w:t>
            </w:r>
          </w:p>
        </w:tc>
        <w:tc>
          <w:tcPr>
            <w:tcW w:w="1144" w:type="dxa"/>
            <w:vAlign w:val="center"/>
          </w:tcPr>
          <w:p>
            <w:pPr>
              <w:pStyle w:val="0"/>
              <w:jc w:val="center"/>
            </w:pPr>
            <w:r>
              <w:rPr>
                <w:sz w:val="20"/>
              </w:rPr>
              <w:t xml:space="preserve">1174987,9</w:t>
            </w:r>
          </w:p>
        </w:tc>
      </w:tr>
      <w:tr>
        <w:tc>
          <w:tcPr>
            <w:tcW w:w="1849" w:type="dxa"/>
            <w:vAlign w:val="center"/>
          </w:tcPr>
          <w:p>
            <w:pPr>
              <w:pStyle w:val="0"/>
              <w:jc w:val="center"/>
            </w:pPr>
            <w:r>
              <w:rPr>
                <w:sz w:val="20"/>
              </w:rPr>
              <w:t xml:space="preserve">Проект 2.G8</w:t>
            </w:r>
          </w:p>
        </w:tc>
        <w:tc>
          <w:tcPr>
            <w:tcW w:w="2835" w:type="dxa"/>
            <w:vAlign w:val="center"/>
          </w:tcPr>
          <w:p>
            <w:pPr>
              <w:pStyle w:val="0"/>
              <w:jc w:val="center"/>
            </w:pPr>
            <w:r>
              <w:rPr>
                <w:sz w:val="20"/>
              </w:rPr>
              <w:t xml:space="preserve">Сохранение уникальных водных объектов</w:t>
            </w: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0406</w:t>
            </w:r>
          </w:p>
        </w:tc>
        <w:tc>
          <w:tcPr>
            <w:tcW w:w="1587" w:type="dxa"/>
            <w:vAlign w:val="center"/>
          </w:tcPr>
          <w:p>
            <w:pPr>
              <w:pStyle w:val="0"/>
              <w:jc w:val="center"/>
            </w:pPr>
            <w:r>
              <w:rPr>
                <w:sz w:val="20"/>
              </w:rPr>
              <w:t xml:space="preserve">12 2 G8 50900</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56140</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6500,0</w:t>
            </w:r>
          </w:p>
        </w:tc>
        <w:tc>
          <w:tcPr>
            <w:tcW w:w="1144" w:type="dxa"/>
            <w:vAlign w:val="center"/>
          </w:tcPr>
          <w:p>
            <w:pPr>
              <w:pStyle w:val="0"/>
              <w:jc w:val="center"/>
            </w:pPr>
            <w:r>
              <w:rPr>
                <w:sz w:val="20"/>
              </w:rPr>
              <w:t xml:space="preserve">20500,0</w:t>
            </w:r>
          </w:p>
        </w:tc>
        <w:tc>
          <w:tcPr>
            <w:tcW w:w="1144" w:type="dxa"/>
            <w:vAlign w:val="center"/>
          </w:tcPr>
          <w:p>
            <w:pPr>
              <w:pStyle w:val="0"/>
              <w:jc w:val="center"/>
            </w:pPr>
            <w:r>
              <w:rPr>
                <w:sz w:val="20"/>
              </w:rPr>
              <w:t xml:space="preserve">26000,0</w:t>
            </w:r>
          </w:p>
        </w:tc>
        <w:tc>
          <w:tcPr>
            <w:tcW w:w="1024" w:type="dxa"/>
            <w:vAlign w:val="center"/>
          </w:tcPr>
          <w:p>
            <w:pPr>
              <w:pStyle w:val="0"/>
              <w:jc w:val="center"/>
            </w:pPr>
            <w:r>
              <w:rPr>
                <w:sz w:val="20"/>
              </w:rPr>
              <w:t xml:space="preserve">3140</w:t>
            </w:r>
          </w:p>
        </w:tc>
        <w:tc>
          <w:tcPr>
            <w:tcW w:w="1144" w:type="dxa"/>
            <w:vAlign w:val="center"/>
          </w:tcPr>
          <w:p>
            <w:pPr>
              <w:pStyle w:val="0"/>
              <w:jc w:val="center"/>
            </w:pPr>
            <w:r>
              <w:rPr>
                <w:sz w:val="20"/>
              </w:rPr>
              <w:t xml:space="preserve">56140</w:t>
            </w:r>
          </w:p>
        </w:tc>
      </w:tr>
      <w:tr>
        <w:tc>
          <w:tcPr>
            <w:tcW w:w="1849" w:type="dxa"/>
            <w:vAlign w:val="center"/>
            <w:vMerge w:val="restart"/>
          </w:tcPr>
          <w:p>
            <w:pPr>
              <w:pStyle w:val="0"/>
              <w:jc w:val="center"/>
            </w:pPr>
            <w:r>
              <w:rPr>
                <w:sz w:val="20"/>
              </w:rPr>
              <w:t xml:space="preserve">Подпрограмма 3</w:t>
            </w:r>
          </w:p>
        </w:tc>
        <w:tc>
          <w:tcPr>
            <w:tcW w:w="2835" w:type="dxa"/>
            <w:vAlign w:val="center"/>
            <w:vMerge w:val="restart"/>
          </w:tcPr>
          <w:p>
            <w:pPr>
              <w:pStyle w:val="0"/>
              <w:jc w:val="center"/>
            </w:pPr>
            <w:r>
              <w:rPr>
                <w:sz w:val="20"/>
              </w:rPr>
              <w:t xml:space="preserve">Охрана окружающей среды и рациональное природопользование</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X</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360002,9</w:t>
            </w:r>
          </w:p>
        </w:tc>
        <w:tc>
          <w:tcPr>
            <w:tcW w:w="1024" w:type="dxa"/>
            <w:vAlign w:val="center"/>
          </w:tcPr>
          <w:p>
            <w:pPr>
              <w:pStyle w:val="0"/>
              <w:jc w:val="center"/>
            </w:pPr>
            <w:r>
              <w:rPr>
                <w:sz w:val="20"/>
              </w:rPr>
              <w:t xml:space="preserve">6345,6</w:t>
            </w:r>
          </w:p>
        </w:tc>
        <w:tc>
          <w:tcPr>
            <w:tcW w:w="1144" w:type="dxa"/>
            <w:vAlign w:val="center"/>
          </w:tcPr>
          <w:p>
            <w:pPr>
              <w:pStyle w:val="0"/>
              <w:jc w:val="center"/>
            </w:pPr>
            <w:r>
              <w:rPr>
                <w:sz w:val="20"/>
              </w:rPr>
              <w:t xml:space="preserve">89727,6</w:t>
            </w:r>
          </w:p>
        </w:tc>
        <w:tc>
          <w:tcPr>
            <w:tcW w:w="1144" w:type="dxa"/>
            <w:vAlign w:val="center"/>
          </w:tcPr>
          <w:p>
            <w:pPr>
              <w:pStyle w:val="0"/>
              <w:jc w:val="center"/>
            </w:pPr>
            <w:r>
              <w:rPr>
                <w:sz w:val="20"/>
              </w:rPr>
              <w:t xml:space="preserve">87249,6</w:t>
            </w:r>
          </w:p>
        </w:tc>
        <w:tc>
          <w:tcPr>
            <w:tcW w:w="1144" w:type="dxa"/>
            <w:vAlign w:val="center"/>
          </w:tcPr>
          <w:p>
            <w:pPr>
              <w:pStyle w:val="0"/>
              <w:jc w:val="center"/>
            </w:pPr>
            <w:r>
              <w:rPr>
                <w:sz w:val="20"/>
              </w:rPr>
              <w:t xml:space="preserve">62178,5</w:t>
            </w:r>
          </w:p>
        </w:tc>
        <w:tc>
          <w:tcPr>
            <w:tcW w:w="1024" w:type="dxa"/>
            <w:vAlign w:val="center"/>
          </w:tcPr>
          <w:p>
            <w:pPr>
              <w:pStyle w:val="0"/>
              <w:jc w:val="center"/>
            </w:pPr>
            <w:r>
              <w:rPr>
                <w:sz w:val="20"/>
              </w:rPr>
              <w:t xml:space="preserve">59678,5</w:t>
            </w:r>
          </w:p>
        </w:tc>
        <w:tc>
          <w:tcPr>
            <w:tcW w:w="1144" w:type="dxa"/>
            <w:vAlign w:val="center"/>
          </w:tcPr>
          <w:p>
            <w:pPr>
              <w:pStyle w:val="0"/>
              <w:jc w:val="center"/>
            </w:pPr>
            <w:r>
              <w:rPr>
                <w:sz w:val="20"/>
              </w:rPr>
              <w:t xml:space="preserve">305021,3</w:t>
            </w:r>
          </w:p>
        </w:tc>
      </w:tr>
      <w:tr>
        <w:tc>
          <w:tcPr>
            <w:vMerge w:val="continue"/>
          </w:tcPr>
          <w:p/>
        </w:tc>
        <w:tc>
          <w:tcPr>
            <w:vMerge w:val="continue"/>
          </w:tcP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4994,0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4298,0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26716,7</w:t>
            </w:r>
          </w:p>
        </w:tc>
        <w:tc>
          <w:tcPr>
            <w:tcW w:w="1024" w:type="dxa"/>
            <w:vAlign w:val="center"/>
          </w:tcPr>
          <w:p>
            <w:pPr>
              <w:pStyle w:val="0"/>
              <w:jc w:val="center"/>
            </w:pPr>
            <w:r>
              <w:rPr>
                <w:sz w:val="20"/>
              </w:rPr>
              <w:t xml:space="preserve">6345,6</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6345,6</w:t>
            </w:r>
          </w:p>
        </w:tc>
      </w:tr>
      <w:tr>
        <w:tc>
          <w:tcPr>
            <w:vMerge w:val="continue"/>
          </w:tcPr>
          <w:p/>
        </w:tc>
        <w:tc>
          <w:tcPr>
            <w:vMerge w:val="continue"/>
          </w:tcPr>
          <w:p/>
        </w:tc>
        <w:tc>
          <w:tcPr>
            <w:tcW w:w="2749" w:type="dxa"/>
            <w:vAlign w:val="center"/>
          </w:tcPr>
          <w:p>
            <w:pPr>
              <w:pStyle w:val="0"/>
              <w:jc w:val="center"/>
            </w:pPr>
            <w:r>
              <w:rPr>
                <w:sz w:val="20"/>
              </w:rPr>
              <w:t xml:space="preserve">Министерство экономического развития и промышленности Белгородской области, АНО "Зеленая инфраструктура городов"</w:t>
            </w:r>
          </w:p>
        </w:tc>
        <w:tc>
          <w:tcPr>
            <w:tcW w:w="694" w:type="dxa"/>
            <w:vAlign w:val="center"/>
          </w:tcPr>
          <w:p>
            <w:pPr>
              <w:pStyle w:val="0"/>
              <w:jc w:val="center"/>
            </w:pPr>
            <w:r>
              <w:rPr>
                <w:sz w:val="20"/>
              </w:rPr>
              <w:t xml:space="preserve">805</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171861</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59785,9</w:t>
            </w:r>
          </w:p>
        </w:tc>
        <w:tc>
          <w:tcPr>
            <w:tcW w:w="1144" w:type="dxa"/>
            <w:vAlign w:val="center"/>
          </w:tcPr>
          <w:p>
            <w:pPr>
              <w:pStyle w:val="0"/>
              <w:jc w:val="center"/>
            </w:pPr>
            <w:r>
              <w:rPr>
                <w:sz w:val="20"/>
              </w:rPr>
              <w:t xml:space="preserve">55964</w:t>
            </w:r>
          </w:p>
        </w:tc>
        <w:tc>
          <w:tcPr>
            <w:tcW w:w="1144" w:type="dxa"/>
            <w:vAlign w:val="center"/>
          </w:tcPr>
          <w:p>
            <w:pPr>
              <w:pStyle w:val="0"/>
              <w:jc w:val="center"/>
            </w:pPr>
            <w:r>
              <w:rPr>
                <w:sz w:val="20"/>
              </w:rPr>
              <w:t xml:space="preserve">29833,4</w:t>
            </w:r>
          </w:p>
        </w:tc>
        <w:tc>
          <w:tcPr>
            <w:tcW w:w="1024" w:type="dxa"/>
            <w:vAlign w:val="center"/>
          </w:tcPr>
          <w:p>
            <w:pPr>
              <w:pStyle w:val="0"/>
              <w:jc w:val="center"/>
            </w:pPr>
            <w:r>
              <w:rPr>
                <w:sz w:val="20"/>
              </w:rPr>
              <w:t xml:space="preserve">26277,7</w:t>
            </w:r>
          </w:p>
        </w:tc>
        <w:tc>
          <w:tcPr>
            <w:tcW w:w="1144" w:type="dxa"/>
            <w:vAlign w:val="center"/>
          </w:tcPr>
          <w:p>
            <w:pPr>
              <w:pStyle w:val="0"/>
              <w:jc w:val="center"/>
            </w:pPr>
            <w:r>
              <w:rPr>
                <w:sz w:val="20"/>
              </w:rPr>
              <w:t xml:space="preserve">171861</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122824</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28912,5</w:t>
            </w:r>
          </w:p>
        </w:tc>
        <w:tc>
          <w:tcPr>
            <w:tcW w:w="1144" w:type="dxa"/>
            <w:vAlign w:val="center"/>
          </w:tcPr>
          <w:p>
            <w:pPr>
              <w:pStyle w:val="0"/>
              <w:jc w:val="center"/>
            </w:pPr>
            <w:r>
              <w:rPr>
                <w:sz w:val="20"/>
              </w:rPr>
              <w:t xml:space="preserve">30245,6</w:t>
            </w:r>
          </w:p>
        </w:tc>
        <w:tc>
          <w:tcPr>
            <w:tcW w:w="1144" w:type="dxa"/>
            <w:vAlign w:val="center"/>
          </w:tcPr>
          <w:p>
            <w:pPr>
              <w:pStyle w:val="0"/>
              <w:jc w:val="center"/>
            </w:pPr>
            <w:r>
              <w:rPr>
                <w:sz w:val="20"/>
              </w:rPr>
              <w:t xml:space="preserve">31305,1</w:t>
            </w:r>
          </w:p>
        </w:tc>
        <w:tc>
          <w:tcPr>
            <w:tcW w:w="1024" w:type="dxa"/>
            <w:vAlign w:val="center"/>
          </w:tcPr>
          <w:p>
            <w:pPr>
              <w:pStyle w:val="0"/>
              <w:jc w:val="center"/>
            </w:pPr>
            <w:r>
              <w:rPr>
                <w:sz w:val="20"/>
              </w:rPr>
              <w:t xml:space="preserve">32360,8</w:t>
            </w:r>
          </w:p>
        </w:tc>
        <w:tc>
          <w:tcPr>
            <w:tcW w:w="1144" w:type="dxa"/>
            <w:vAlign w:val="center"/>
          </w:tcPr>
          <w:p>
            <w:pPr>
              <w:pStyle w:val="0"/>
              <w:jc w:val="center"/>
            </w:pPr>
            <w:r>
              <w:rPr>
                <w:sz w:val="20"/>
              </w:rPr>
              <w:t xml:space="preserve">122665,5</w:t>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4149,2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1029,2</w:t>
            </w:r>
          </w:p>
        </w:tc>
        <w:tc>
          <w:tcPr>
            <w:tcW w:w="1144" w:type="dxa"/>
            <w:vAlign w:val="center"/>
          </w:tcPr>
          <w:p>
            <w:pPr>
              <w:pStyle w:val="0"/>
              <w:jc w:val="center"/>
            </w:pPr>
            <w:r>
              <w:rPr>
                <w:sz w:val="20"/>
              </w:rPr>
              <w:t xml:space="preserve">1040</w:t>
            </w:r>
          </w:p>
        </w:tc>
        <w:tc>
          <w:tcPr>
            <w:tcW w:w="1144" w:type="dxa"/>
            <w:vAlign w:val="center"/>
          </w:tcPr>
          <w:p>
            <w:pPr>
              <w:pStyle w:val="0"/>
              <w:jc w:val="center"/>
            </w:pPr>
            <w:r>
              <w:rPr>
                <w:sz w:val="20"/>
              </w:rPr>
              <w:t xml:space="preserve">1040</w:t>
            </w:r>
          </w:p>
        </w:tc>
        <w:tc>
          <w:tcPr>
            <w:tcW w:w="1024" w:type="dxa"/>
            <w:vAlign w:val="center"/>
          </w:tcPr>
          <w:p>
            <w:pPr>
              <w:pStyle w:val="0"/>
              <w:jc w:val="center"/>
            </w:pPr>
            <w:r>
              <w:rPr>
                <w:sz w:val="20"/>
              </w:rPr>
              <w:t xml:space="preserve">1040</w:t>
            </w:r>
          </w:p>
        </w:tc>
        <w:tc>
          <w:tcPr>
            <w:tcW w:w="1144" w:type="dxa"/>
            <w:vAlign w:val="center"/>
          </w:tcPr>
          <w:p>
            <w:pPr>
              <w:pStyle w:val="0"/>
              <w:jc w:val="center"/>
            </w:pPr>
            <w:r>
              <w:rPr>
                <w:sz w:val="20"/>
              </w:rPr>
              <w:t xml:space="preserve">4149,2</w:t>
            </w:r>
          </w:p>
        </w:tc>
      </w:tr>
      <w:tr>
        <w:tc>
          <w:tcPr>
            <w:vMerge w:val="continue"/>
          </w:tcPr>
          <w:p/>
        </w:tc>
        <w:tc>
          <w:tcPr>
            <w:vMerge w:val="continue"/>
          </w:tcP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25160,0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3.1</w:t>
            </w:r>
          </w:p>
        </w:tc>
        <w:tc>
          <w:tcPr>
            <w:tcW w:w="2835" w:type="dxa"/>
            <w:vAlign w:val="center"/>
            <w:vMerge w:val="restart"/>
          </w:tcPr>
          <w:p>
            <w:pPr>
              <w:pStyle w:val="0"/>
              <w:jc w:val="center"/>
            </w:pPr>
            <w:r>
              <w:rPr>
                <w:sz w:val="20"/>
              </w:rPr>
              <w:t xml:space="preserve">Охрана окружающей среды и рациональное природопользование</w:t>
            </w: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12 3 2999</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1057,0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12 3 2999</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1228,0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12 3 01 29990</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10979,1</w:t>
            </w:r>
          </w:p>
        </w:tc>
        <w:tc>
          <w:tcPr>
            <w:tcW w:w="1024" w:type="dxa"/>
            <w:vAlign w:val="center"/>
          </w:tcPr>
          <w:p>
            <w:pPr>
              <w:pStyle w:val="0"/>
              <w:jc w:val="center"/>
            </w:pPr>
            <w:r>
              <w:rPr>
                <w:sz w:val="20"/>
              </w:rPr>
              <w:t xml:space="preserve">4140,0</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4140,0</w:t>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0601</w:t>
            </w:r>
          </w:p>
        </w:tc>
        <w:tc>
          <w:tcPr>
            <w:tcW w:w="1587" w:type="dxa"/>
            <w:vAlign w:val="center"/>
          </w:tcPr>
          <w:p>
            <w:pPr>
              <w:pStyle w:val="0"/>
              <w:jc w:val="center"/>
            </w:pPr>
            <w:r>
              <w:rPr>
                <w:sz w:val="20"/>
              </w:rPr>
              <w:t xml:space="preserve">12 3 01 29990</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4149,2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1029,2</w:t>
            </w:r>
          </w:p>
        </w:tc>
        <w:tc>
          <w:tcPr>
            <w:tcW w:w="1144" w:type="dxa"/>
            <w:vAlign w:val="center"/>
          </w:tcPr>
          <w:p>
            <w:pPr>
              <w:pStyle w:val="0"/>
              <w:jc w:val="center"/>
            </w:pPr>
            <w:r>
              <w:rPr>
                <w:sz w:val="20"/>
              </w:rPr>
              <w:t xml:space="preserve">1040</w:t>
            </w:r>
          </w:p>
        </w:tc>
        <w:tc>
          <w:tcPr>
            <w:tcW w:w="1144" w:type="dxa"/>
            <w:vAlign w:val="center"/>
          </w:tcPr>
          <w:p>
            <w:pPr>
              <w:pStyle w:val="0"/>
              <w:jc w:val="center"/>
            </w:pPr>
            <w:r>
              <w:rPr>
                <w:sz w:val="20"/>
              </w:rPr>
              <w:t xml:space="preserve">1040</w:t>
            </w:r>
          </w:p>
        </w:tc>
        <w:tc>
          <w:tcPr>
            <w:tcW w:w="1024" w:type="dxa"/>
            <w:vAlign w:val="center"/>
          </w:tcPr>
          <w:p>
            <w:pPr>
              <w:pStyle w:val="0"/>
              <w:jc w:val="center"/>
            </w:pPr>
            <w:r>
              <w:rPr>
                <w:sz w:val="20"/>
              </w:rPr>
              <w:t xml:space="preserve">1040</w:t>
            </w:r>
          </w:p>
        </w:tc>
        <w:tc>
          <w:tcPr>
            <w:tcW w:w="1144" w:type="dxa"/>
            <w:vAlign w:val="center"/>
          </w:tcPr>
          <w:p>
            <w:pPr>
              <w:pStyle w:val="0"/>
              <w:jc w:val="center"/>
            </w:pPr>
            <w:r>
              <w:rPr>
                <w:sz w:val="20"/>
              </w:rPr>
              <w:t xml:space="preserve">4149,2</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12 3 01 29990</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3556,1</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2183,5</w:t>
            </w:r>
          </w:p>
        </w:tc>
        <w:tc>
          <w:tcPr>
            <w:tcW w:w="1144" w:type="dxa"/>
            <w:vAlign w:val="center"/>
          </w:tcPr>
          <w:p>
            <w:pPr>
              <w:pStyle w:val="0"/>
              <w:jc w:val="center"/>
            </w:pPr>
            <w:r>
              <w:rPr>
                <w:sz w:val="20"/>
              </w:rPr>
              <w:t xml:space="preserve">452,6</w:t>
            </w:r>
          </w:p>
        </w:tc>
        <w:tc>
          <w:tcPr>
            <w:tcW w:w="1144" w:type="dxa"/>
            <w:vAlign w:val="center"/>
          </w:tcPr>
          <w:p>
            <w:pPr>
              <w:pStyle w:val="0"/>
              <w:jc w:val="center"/>
            </w:pPr>
            <w:r>
              <w:rPr>
                <w:sz w:val="20"/>
              </w:rPr>
              <w:t xml:space="preserve">460</w:t>
            </w:r>
          </w:p>
        </w:tc>
        <w:tc>
          <w:tcPr>
            <w:tcW w:w="1024" w:type="dxa"/>
            <w:vAlign w:val="center"/>
          </w:tcPr>
          <w:p>
            <w:pPr>
              <w:pStyle w:val="0"/>
              <w:jc w:val="center"/>
            </w:pPr>
            <w:r>
              <w:rPr>
                <w:sz w:val="20"/>
              </w:rPr>
              <w:t xml:space="preserve">460</w:t>
            </w:r>
          </w:p>
        </w:tc>
        <w:tc>
          <w:tcPr>
            <w:tcW w:w="1144" w:type="dxa"/>
            <w:vAlign w:val="center"/>
          </w:tcPr>
          <w:p>
            <w:pPr>
              <w:pStyle w:val="0"/>
              <w:jc w:val="center"/>
            </w:pPr>
            <w:r>
              <w:rPr>
                <w:sz w:val="20"/>
              </w:rPr>
              <w:t xml:space="preserve">3556,1</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12 3 01 90019</w:t>
            </w:r>
          </w:p>
        </w:tc>
        <w:tc>
          <w:tcPr>
            <w:tcW w:w="484" w:type="dxa"/>
            <w:vAlign w:val="center"/>
          </w:tcPr>
          <w:p>
            <w:pPr>
              <w:pStyle w:val="0"/>
              <w:jc w:val="center"/>
            </w:pPr>
            <w:r>
              <w:rPr>
                <w:sz w:val="20"/>
              </w:rPr>
              <w:t xml:space="preserve">100</w:t>
            </w:r>
          </w:p>
        </w:tc>
        <w:tc>
          <w:tcPr>
            <w:tcW w:w="1909" w:type="dxa"/>
            <w:vAlign w:val="center"/>
          </w:tcPr>
          <w:p>
            <w:pPr>
              <w:pStyle w:val="0"/>
              <w:jc w:val="center"/>
            </w:pPr>
            <w:r>
              <w:rPr>
                <w:sz w:val="20"/>
              </w:rPr>
              <w:t xml:space="preserve">104257,8</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25035,6</w:t>
            </w:r>
          </w:p>
        </w:tc>
        <w:tc>
          <w:tcPr>
            <w:tcW w:w="1144" w:type="dxa"/>
            <w:vAlign w:val="center"/>
          </w:tcPr>
          <w:p>
            <w:pPr>
              <w:pStyle w:val="0"/>
              <w:jc w:val="center"/>
            </w:pPr>
            <w:r>
              <w:rPr>
                <w:sz w:val="20"/>
              </w:rPr>
              <w:t xml:space="preserve">25200,1</w:t>
            </w:r>
          </w:p>
        </w:tc>
        <w:tc>
          <w:tcPr>
            <w:tcW w:w="1144" w:type="dxa"/>
            <w:vAlign w:val="center"/>
          </w:tcPr>
          <w:p>
            <w:pPr>
              <w:pStyle w:val="0"/>
              <w:jc w:val="center"/>
            </w:pPr>
            <w:r>
              <w:rPr>
                <w:sz w:val="20"/>
              </w:rPr>
              <w:t xml:space="preserve">26483,2</w:t>
            </w:r>
          </w:p>
        </w:tc>
        <w:tc>
          <w:tcPr>
            <w:tcW w:w="1024" w:type="dxa"/>
            <w:vAlign w:val="center"/>
          </w:tcPr>
          <w:p>
            <w:pPr>
              <w:pStyle w:val="0"/>
              <w:jc w:val="center"/>
            </w:pPr>
            <w:r>
              <w:rPr>
                <w:sz w:val="20"/>
              </w:rPr>
              <w:t xml:space="preserve">27538,9</w:t>
            </w:r>
          </w:p>
        </w:tc>
        <w:tc>
          <w:tcPr>
            <w:tcW w:w="1144" w:type="dxa"/>
            <w:vAlign w:val="center"/>
          </w:tcPr>
          <w:p>
            <w:pPr>
              <w:pStyle w:val="0"/>
              <w:jc w:val="center"/>
            </w:pPr>
            <w:r>
              <w:rPr>
                <w:sz w:val="20"/>
              </w:rPr>
              <w:t xml:space="preserve">104099,3</w:t>
            </w:r>
          </w:p>
        </w:tc>
      </w:tr>
      <w:tr>
        <w:tc>
          <w:tcPr>
            <w:vMerge w:val="continue"/>
          </w:tcPr>
          <w:p/>
        </w:tc>
        <w:tc>
          <w:tcPr>
            <w:vMerge w:val="continue"/>
          </w:tcPr>
          <w:p/>
        </w:tc>
        <w:tc>
          <w:tcPr>
            <w:tcW w:w="2749" w:type="dxa"/>
            <w:vAlign w:val="center"/>
            <w:vMerge w:val="restart"/>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12 3 01 90019</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3275,2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766,0</w:t>
            </w:r>
          </w:p>
        </w:tc>
        <w:tc>
          <w:tcPr>
            <w:tcW w:w="1144" w:type="dxa"/>
            <w:vAlign w:val="center"/>
          </w:tcPr>
          <w:p>
            <w:pPr>
              <w:pStyle w:val="0"/>
              <w:jc w:val="center"/>
            </w:pPr>
            <w:r>
              <w:rPr>
                <w:sz w:val="20"/>
              </w:rPr>
              <w:t xml:space="preserve">990,4</w:t>
            </w:r>
          </w:p>
        </w:tc>
        <w:tc>
          <w:tcPr>
            <w:tcW w:w="1144" w:type="dxa"/>
            <w:vAlign w:val="center"/>
          </w:tcPr>
          <w:p>
            <w:pPr>
              <w:pStyle w:val="0"/>
              <w:jc w:val="center"/>
            </w:pPr>
            <w:r>
              <w:rPr>
                <w:sz w:val="20"/>
              </w:rPr>
              <w:t xml:space="preserve">759,4</w:t>
            </w:r>
          </w:p>
        </w:tc>
        <w:tc>
          <w:tcPr>
            <w:tcW w:w="1024" w:type="dxa"/>
            <w:vAlign w:val="center"/>
          </w:tcPr>
          <w:p>
            <w:pPr>
              <w:pStyle w:val="0"/>
              <w:jc w:val="center"/>
            </w:pPr>
            <w:r>
              <w:rPr>
                <w:sz w:val="20"/>
              </w:rPr>
              <w:t xml:space="preserve">759,4</w:t>
            </w:r>
          </w:p>
        </w:tc>
        <w:tc>
          <w:tcPr>
            <w:tcW w:w="1144" w:type="dxa"/>
            <w:vAlign w:val="center"/>
          </w:tcPr>
          <w:p>
            <w:pPr>
              <w:pStyle w:val="0"/>
              <w:jc w:val="center"/>
            </w:pPr>
            <w:r>
              <w:rPr>
                <w:sz w:val="20"/>
              </w:rPr>
              <w:t xml:space="preserve">3275,2</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12 3 01 00019</w:t>
            </w:r>
          </w:p>
        </w:tc>
        <w:tc>
          <w:tcPr>
            <w:tcW w:w="484" w:type="dxa"/>
            <w:vAlign w:val="center"/>
          </w:tcPr>
          <w:p>
            <w:pPr>
              <w:pStyle w:val="0"/>
              <w:jc w:val="center"/>
            </w:pPr>
            <w:r>
              <w:rPr>
                <w:sz w:val="20"/>
              </w:rPr>
              <w:t xml:space="preserve">800</w:t>
            </w:r>
          </w:p>
        </w:tc>
        <w:tc>
          <w:tcPr>
            <w:tcW w:w="1909" w:type="dxa"/>
            <w:vAlign w:val="center"/>
          </w:tcPr>
          <w:p>
            <w:pPr>
              <w:pStyle w:val="0"/>
              <w:jc w:val="center"/>
            </w:pPr>
            <w:r>
              <w:rPr>
                <w:sz w:val="20"/>
              </w:rPr>
              <w:t xml:space="preserve">7,5</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t xml:space="preserve">2,5</w:t>
            </w:r>
          </w:p>
        </w:tc>
        <w:tc>
          <w:tcPr>
            <w:tcW w:w="1144" w:type="dxa"/>
            <w:vAlign w:val="center"/>
          </w:tcPr>
          <w:p>
            <w:pPr>
              <w:pStyle w:val="0"/>
              <w:jc w:val="center"/>
            </w:pPr>
            <w:r>
              <w:rPr>
                <w:sz w:val="20"/>
              </w:rPr>
              <w:t xml:space="preserve">2,5</w:t>
            </w:r>
          </w:p>
        </w:tc>
        <w:tc>
          <w:tcPr>
            <w:tcW w:w="1024" w:type="dxa"/>
            <w:vAlign w:val="center"/>
          </w:tcPr>
          <w:p>
            <w:pPr>
              <w:pStyle w:val="0"/>
              <w:jc w:val="center"/>
            </w:pPr>
            <w:r>
              <w:rPr>
                <w:sz w:val="20"/>
              </w:rPr>
              <w:t xml:space="preserve">2,5</w:t>
            </w:r>
          </w:p>
        </w:tc>
        <w:tc>
          <w:tcPr>
            <w:tcW w:w="1144" w:type="dxa"/>
            <w:vAlign w:val="center"/>
          </w:tcPr>
          <w:p>
            <w:pPr>
              <w:pStyle w:val="0"/>
              <w:jc w:val="center"/>
            </w:pPr>
            <w:r>
              <w:rPr>
                <w:sz w:val="20"/>
              </w:rPr>
              <w:t xml:space="preserve">7,5</w:t>
            </w:r>
          </w:p>
        </w:tc>
      </w:tr>
      <w:tr>
        <w:tc>
          <w:tcPr>
            <w:tcW w:w="1849" w:type="dxa"/>
            <w:vAlign w:val="center"/>
          </w:tcPr>
          <w:p>
            <w:pPr>
              <w:pStyle w:val="0"/>
              <w:jc w:val="center"/>
            </w:pPr>
            <w:r>
              <w:rPr>
                <w:sz w:val="20"/>
              </w:rPr>
              <w:t xml:space="preserve">Основное мероприятие 3.2</w:t>
            </w:r>
          </w:p>
        </w:tc>
        <w:tc>
          <w:tcPr>
            <w:tcW w:w="2835" w:type="dxa"/>
            <w:vAlign w:val="center"/>
          </w:tcPr>
          <w:p>
            <w:pPr>
              <w:pStyle w:val="0"/>
              <w:jc w:val="center"/>
            </w:pPr>
            <w:r>
              <w:rPr>
                <w:sz w:val="20"/>
              </w:rPr>
              <w:t xml:space="preserve">Субсидии на разработку научно обоснованных проектов бассейнового природопользования</w:t>
            </w: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12 3 7375</w:t>
            </w:r>
          </w:p>
        </w:tc>
        <w:tc>
          <w:tcPr>
            <w:tcW w:w="484" w:type="dxa"/>
            <w:vAlign w:val="center"/>
          </w:tcPr>
          <w:p>
            <w:pPr>
              <w:pStyle w:val="0"/>
              <w:jc w:val="center"/>
            </w:pPr>
            <w:r>
              <w:rPr>
                <w:sz w:val="20"/>
              </w:rPr>
              <w:t xml:space="preserve">530</w:t>
            </w:r>
          </w:p>
        </w:tc>
        <w:tc>
          <w:tcPr>
            <w:tcW w:w="1909" w:type="dxa"/>
            <w:vAlign w:val="center"/>
          </w:tcPr>
          <w:p>
            <w:pPr>
              <w:pStyle w:val="0"/>
              <w:jc w:val="center"/>
            </w:pPr>
            <w:r>
              <w:rPr>
                <w:sz w:val="20"/>
              </w:rPr>
              <w:t xml:space="preserve">483,0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vMerge w:val="restart"/>
          </w:tcPr>
          <w:p>
            <w:pPr>
              <w:pStyle w:val="0"/>
              <w:jc w:val="center"/>
            </w:pPr>
            <w:r>
              <w:rPr>
                <w:sz w:val="20"/>
              </w:rPr>
              <w:t xml:space="preserve">Основное мероприятие 3.3</w:t>
            </w:r>
          </w:p>
        </w:tc>
        <w:tc>
          <w:tcPr>
            <w:tcW w:w="2835" w:type="dxa"/>
            <w:vAlign w:val="center"/>
            <w:vMerge w:val="restart"/>
          </w:tcPr>
          <w:p>
            <w:pPr>
              <w:pStyle w:val="0"/>
              <w:jc w:val="center"/>
            </w:pPr>
            <w:r>
              <w:rPr>
                <w:sz w:val="20"/>
              </w:rPr>
              <w:t xml:space="preserve">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12 3 7376</w:t>
            </w:r>
          </w:p>
        </w:tc>
        <w:tc>
          <w:tcPr>
            <w:tcW w:w="484" w:type="dxa"/>
            <w:vAlign w:val="center"/>
          </w:tcPr>
          <w:p>
            <w:pPr>
              <w:pStyle w:val="0"/>
              <w:jc w:val="center"/>
            </w:pPr>
            <w:r>
              <w:rPr>
                <w:sz w:val="20"/>
              </w:rPr>
              <w:t xml:space="preserve">530</w:t>
            </w:r>
          </w:p>
        </w:tc>
        <w:tc>
          <w:tcPr>
            <w:tcW w:w="1909" w:type="dxa"/>
            <w:vAlign w:val="center"/>
          </w:tcPr>
          <w:p>
            <w:pPr>
              <w:pStyle w:val="0"/>
              <w:jc w:val="center"/>
            </w:pPr>
            <w:r>
              <w:rPr>
                <w:sz w:val="20"/>
              </w:rPr>
              <w:t xml:space="preserve">3454,0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12 3 7376</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3070,0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агропромышленного комплекса и воспроизводства окружающей среды Белгородской области</w:t>
            </w:r>
          </w:p>
        </w:tc>
        <w:tc>
          <w:tcPr>
            <w:tcW w:w="694" w:type="dxa"/>
            <w:vAlign w:val="center"/>
          </w:tcPr>
          <w:p>
            <w:pPr>
              <w:pStyle w:val="0"/>
              <w:jc w:val="center"/>
            </w:pPr>
            <w:r>
              <w:rPr>
                <w:sz w:val="20"/>
              </w:rPr>
              <w:t xml:space="preserve">806</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12 3 03 73760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15737,6</w:t>
            </w:r>
          </w:p>
        </w:tc>
        <w:tc>
          <w:tcPr>
            <w:tcW w:w="1024" w:type="dxa"/>
            <w:vAlign w:val="center"/>
          </w:tcPr>
          <w:p>
            <w:pPr>
              <w:pStyle w:val="0"/>
              <w:jc w:val="center"/>
            </w:pPr>
            <w:r>
              <w:rPr>
                <w:sz w:val="20"/>
              </w:rPr>
              <w:t xml:space="preserve">2205,6</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2205,6</w:t>
            </w:r>
          </w:p>
        </w:tc>
      </w:tr>
      <w:tr>
        <w:tc>
          <w:tcPr>
            <w:vMerge w:val="continue"/>
          </w:tcPr>
          <w:p/>
        </w:tc>
        <w:tc>
          <w:tcPr>
            <w:vMerge w:val="continue"/>
          </w:tcPr>
          <w:p/>
        </w:tc>
        <w:tc>
          <w:tcPr>
            <w:tcW w:w="2749" w:type="dxa"/>
            <w:vAlign w:val="center"/>
          </w:tcPr>
          <w:p>
            <w:pPr>
              <w:pStyle w:val="0"/>
              <w:jc w:val="center"/>
            </w:pPr>
            <w:r>
              <w:rPr>
                <w:sz w:val="20"/>
              </w:rPr>
              <w:t xml:space="preserve">Министерство природопользования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12 3 03 73760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11727,4</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927,4</w:t>
            </w:r>
          </w:p>
        </w:tc>
        <w:tc>
          <w:tcPr>
            <w:tcW w:w="1144" w:type="dxa"/>
            <w:vAlign w:val="center"/>
          </w:tcPr>
          <w:p>
            <w:pPr>
              <w:pStyle w:val="0"/>
              <w:jc w:val="center"/>
            </w:pPr>
            <w:r>
              <w:rPr>
                <w:sz w:val="20"/>
              </w:rPr>
              <w:t xml:space="preserve">3600,0</w:t>
            </w:r>
          </w:p>
        </w:tc>
        <w:tc>
          <w:tcPr>
            <w:tcW w:w="1144" w:type="dxa"/>
            <w:vAlign w:val="center"/>
          </w:tcPr>
          <w:p>
            <w:pPr>
              <w:pStyle w:val="0"/>
              <w:jc w:val="center"/>
            </w:pPr>
            <w:r>
              <w:rPr>
                <w:sz w:val="20"/>
              </w:rPr>
              <w:t xml:space="preserve">3600,0</w:t>
            </w:r>
          </w:p>
        </w:tc>
        <w:tc>
          <w:tcPr>
            <w:tcW w:w="1024" w:type="dxa"/>
            <w:vAlign w:val="center"/>
          </w:tcPr>
          <w:p>
            <w:pPr>
              <w:pStyle w:val="0"/>
              <w:jc w:val="center"/>
            </w:pPr>
            <w:r>
              <w:rPr>
                <w:sz w:val="20"/>
              </w:rPr>
              <w:t xml:space="preserve">3600,0</w:t>
            </w:r>
          </w:p>
        </w:tc>
        <w:tc>
          <w:tcPr>
            <w:tcW w:w="1144" w:type="dxa"/>
            <w:vAlign w:val="center"/>
          </w:tcPr>
          <w:p>
            <w:pPr>
              <w:pStyle w:val="0"/>
              <w:jc w:val="center"/>
            </w:pPr>
            <w:r>
              <w:rPr>
                <w:sz w:val="20"/>
              </w:rPr>
              <w:t xml:space="preserve">11727,4</w:t>
            </w:r>
          </w:p>
        </w:tc>
      </w:tr>
      <w:tr>
        <w:tc>
          <w:tcPr>
            <w:tcW w:w="1849" w:type="dxa"/>
            <w:vAlign w:val="center"/>
          </w:tcPr>
          <w:p>
            <w:pPr>
              <w:pStyle w:val="0"/>
              <w:jc w:val="center"/>
            </w:pPr>
            <w:r>
              <w:rPr>
                <w:sz w:val="20"/>
              </w:rPr>
              <w:t xml:space="preserve">Основное мероприятие 3.4</w:t>
            </w:r>
          </w:p>
        </w:tc>
        <w:tc>
          <w:tcPr>
            <w:tcW w:w="2835" w:type="dxa"/>
            <w:vAlign w:val="center"/>
          </w:tcPr>
          <w:p>
            <w:pPr>
              <w:pStyle w:val="0"/>
              <w:jc w:val="center"/>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12 3 04 71410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25160,0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tcPr>
          <w:p>
            <w:pPr>
              <w:pStyle w:val="0"/>
              <w:jc w:val="center"/>
            </w:pPr>
            <w:r>
              <w:rPr>
                <w:sz w:val="20"/>
              </w:rPr>
              <w:t xml:space="preserve">Основное мероприятие 3.5</w:t>
            </w:r>
          </w:p>
        </w:tc>
        <w:tc>
          <w:tcPr>
            <w:tcW w:w="2835" w:type="dxa"/>
            <w:vAlign w:val="center"/>
          </w:tcPr>
          <w:p>
            <w:pPr>
              <w:pStyle w:val="0"/>
              <w:jc w:val="center"/>
            </w:pPr>
            <w:r>
              <w:rPr>
                <w:sz w:val="20"/>
              </w:rPr>
              <w:t xml:space="preserve">Разработка и реализация инновационных проектов в области охраны окружающей среды</w:t>
            </w:r>
          </w:p>
        </w:tc>
        <w:tc>
          <w:tcPr>
            <w:tcW w:w="2749" w:type="dxa"/>
            <w:vAlign w:val="center"/>
          </w:tcPr>
          <w:p>
            <w:pPr>
              <w:pStyle w:val="0"/>
              <w:jc w:val="center"/>
            </w:pPr>
            <w:r>
              <w:rPr>
                <w:sz w:val="20"/>
              </w:rPr>
              <w:t xml:space="preserve">Министерство экономического развития и промышленности Белгородской области, АНО "Зеленая инфраструктура городов"</w:t>
            </w:r>
          </w:p>
        </w:tc>
        <w:tc>
          <w:tcPr>
            <w:tcW w:w="694" w:type="dxa"/>
            <w:vAlign w:val="center"/>
          </w:tcPr>
          <w:p>
            <w:pPr>
              <w:pStyle w:val="0"/>
              <w:jc w:val="center"/>
            </w:pPr>
            <w:r>
              <w:rPr>
                <w:sz w:val="20"/>
              </w:rPr>
              <w:t xml:space="preserve">605</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12 3 05 60220</w:t>
            </w:r>
          </w:p>
        </w:tc>
        <w:tc>
          <w:tcPr>
            <w:tcW w:w="484" w:type="dxa"/>
            <w:vAlign w:val="center"/>
          </w:tcPr>
          <w:p>
            <w:pPr>
              <w:pStyle w:val="0"/>
              <w:jc w:val="center"/>
            </w:pPr>
            <w:r>
              <w:rPr>
                <w:sz w:val="20"/>
              </w:rPr>
              <w:t xml:space="preserve">600</w:t>
            </w:r>
          </w:p>
        </w:tc>
        <w:tc>
          <w:tcPr>
            <w:tcW w:w="1909" w:type="dxa"/>
            <w:vAlign w:val="center"/>
          </w:tcPr>
          <w:p>
            <w:pPr>
              <w:pStyle w:val="0"/>
              <w:jc w:val="center"/>
            </w:pPr>
            <w:r>
              <w:rPr>
                <w:sz w:val="20"/>
              </w:rPr>
              <w:t xml:space="preserve">171861</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59785,9</w:t>
            </w:r>
          </w:p>
        </w:tc>
        <w:tc>
          <w:tcPr>
            <w:tcW w:w="1144" w:type="dxa"/>
            <w:vAlign w:val="center"/>
          </w:tcPr>
          <w:p>
            <w:pPr>
              <w:pStyle w:val="0"/>
              <w:jc w:val="center"/>
            </w:pPr>
            <w:r>
              <w:rPr>
                <w:sz w:val="20"/>
              </w:rPr>
              <w:t xml:space="preserve">55964</w:t>
            </w:r>
          </w:p>
        </w:tc>
        <w:tc>
          <w:tcPr>
            <w:tcW w:w="1144" w:type="dxa"/>
            <w:vAlign w:val="center"/>
          </w:tcPr>
          <w:p>
            <w:pPr>
              <w:pStyle w:val="0"/>
              <w:jc w:val="center"/>
            </w:pPr>
            <w:r>
              <w:rPr>
                <w:sz w:val="20"/>
              </w:rPr>
              <w:t xml:space="preserve">29833,4</w:t>
            </w:r>
          </w:p>
        </w:tc>
        <w:tc>
          <w:tcPr>
            <w:tcW w:w="1024" w:type="dxa"/>
            <w:vAlign w:val="center"/>
          </w:tcPr>
          <w:p>
            <w:pPr>
              <w:pStyle w:val="0"/>
              <w:jc w:val="center"/>
            </w:pPr>
            <w:r>
              <w:rPr>
                <w:sz w:val="20"/>
              </w:rPr>
              <w:t xml:space="preserve">26277,7</w:t>
            </w:r>
          </w:p>
        </w:tc>
        <w:tc>
          <w:tcPr>
            <w:tcW w:w="1144" w:type="dxa"/>
            <w:vAlign w:val="center"/>
          </w:tcPr>
          <w:p>
            <w:pPr>
              <w:pStyle w:val="0"/>
              <w:jc w:val="center"/>
            </w:pPr>
            <w:r>
              <w:rPr>
                <w:sz w:val="20"/>
              </w:rPr>
              <w:t xml:space="preserve">171861</w:t>
            </w:r>
          </w:p>
        </w:tc>
      </w:tr>
      <w:tr>
        <w:tc>
          <w:tcPr>
            <w:tcW w:w="1849" w:type="dxa"/>
            <w:vAlign w:val="center"/>
            <w:vMerge w:val="restart"/>
          </w:tcPr>
          <w:p>
            <w:pPr>
              <w:pStyle w:val="0"/>
              <w:jc w:val="center"/>
            </w:pPr>
            <w:r>
              <w:rPr>
                <w:sz w:val="20"/>
              </w:rPr>
              <w:t xml:space="preserve">Подпрограмма 4</w:t>
            </w:r>
          </w:p>
        </w:tc>
        <w:tc>
          <w:tcPr>
            <w:tcW w:w="2835" w:type="dxa"/>
            <w:vAlign w:val="center"/>
            <w:vMerge w:val="restart"/>
          </w:tcPr>
          <w:p>
            <w:pPr>
              <w:pStyle w:val="0"/>
              <w:jc w:val="center"/>
            </w:pPr>
            <w:r>
              <w:rPr>
                <w:sz w:val="20"/>
              </w:rPr>
              <w:t xml:space="preserve">Сохранение, воспроизводство и использование животного мира</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62306,1</w:t>
            </w:r>
          </w:p>
        </w:tc>
        <w:tc>
          <w:tcPr>
            <w:tcW w:w="1024" w:type="dxa"/>
            <w:vAlign w:val="center"/>
          </w:tcPr>
          <w:p>
            <w:pPr>
              <w:pStyle w:val="0"/>
              <w:jc w:val="center"/>
            </w:pPr>
            <w:r>
              <w:rPr>
                <w:sz w:val="20"/>
              </w:rPr>
              <w:t xml:space="preserve">9255,7</w:t>
            </w:r>
          </w:p>
        </w:tc>
        <w:tc>
          <w:tcPr>
            <w:tcW w:w="1144" w:type="dxa"/>
            <w:vAlign w:val="center"/>
          </w:tcPr>
          <w:p>
            <w:pPr>
              <w:pStyle w:val="0"/>
              <w:jc w:val="center"/>
            </w:pPr>
            <w:r>
              <w:rPr>
                <w:sz w:val="20"/>
              </w:rPr>
              <w:t xml:space="preserve">10149,0</w:t>
            </w:r>
          </w:p>
        </w:tc>
        <w:tc>
          <w:tcPr>
            <w:tcW w:w="1144" w:type="dxa"/>
            <w:vAlign w:val="center"/>
          </w:tcPr>
          <w:p>
            <w:pPr>
              <w:pStyle w:val="0"/>
              <w:jc w:val="center"/>
            </w:pPr>
            <w:r>
              <w:rPr>
                <w:sz w:val="20"/>
              </w:rPr>
              <w:t xml:space="preserve">10308,3</w:t>
            </w:r>
          </w:p>
        </w:tc>
        <w:tc>
          <w:tcPr>
            <w:tcW w:w="1144" w:type="dxa"/>
            <w:vAlign w:val="center"/>
          </w:tcPr>
          <w:p>
            <w:pPr>
              <w:pStyle w:val="0"/>
              <w:jc w:val="center"/>
            </w:pPr>
            <w:r>
              <w:rPr>
                <w:sz w:val="20"/>
              </w:rPr>
              <w:t xml:space="preserve">10663,7</w:t>
            </w:r>
          </w:p>
        </w:tc>
        <w:tc>
          <w:tcPr>
            <w:tcW w:w="1024" w:type="dxa"/>
            <w:vAlign w:val="center"/>
          </w:tcPr>
          <w:p>
            <w:pPr>
              <w:pStyle w:val="0"/>
              <w:jc w:val="center"/>
            </w:pPr>
            <w:r>
              <w:rPr>
                <w:sz w:val="20"/>
              </w:rPr>
              <w:t xml:space="preserve">11051,1</w:t>
            </w:r>
          </w:p>
        </w:tc>
        <w:tc>
          <w:tcPr>
            <w:tcW w:w="1144" w:type="dxa"/>
            <w:vAlign w:val="center"/>
          </w:tcPr>
          <w:p>
            <w:pPr>
              <w:pStyle w:val="0"/>
              <w:jc w:val="center"/>
            </w:pPr>
            <w:r>
              <w:rPr>
                <w:sz w:val="20"/>
              </w:rPr>
              <w:t xml:space="preserve">51427,8</w:t>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62306,1</w:t>
            </w:r>
          </w:p>
        </w:tc>
        <w:tc>
          <w:tcPr>
            <w:tcW w:w="1024" w:type="dxa"/>
            <w:vAlign w:val="center"/>
          </w:tcPr>
          <w:p>
            <w:pPr>
              <w:pStyle w:val="0"/>
              <w:jc w:val="center"/>
            </w:pPr>
            <w:r>
              <w:rPr>
                <w:sz w:val="20"/>
              </w:rPr>
              <w:t xml:space="preserve">9255,7</w:t>
            </w:r>
          </w:p>
        </w:tc>
        <w:tc>
          <w:tcPr>
            <w:tcW w:w="1144" w:type="dxa"/>
            <w:vAlign w:val="center"/>
          </w:tcPr>
          <w:p>
            <w:pPr>
              <w:pStyle w:val="0"/>
              <w:jc w:val="center"/>
            </w:pPr>
            <w:r>
              <w:rPr>
                <w:sz w:val="20"/>
              </w:rPr>
              <w:t xml:space="preserve">10149,0</w:t>
            </w:r>
          </w:p>
        </w:tc>
        <w:tc>
          <w:tcPr>
            <w:tcW w:w="1144" w:type="dxa"/>
            <w:vAlign w:val="center"/>
          </w:tcPr>
          <w:p>
            <w:pPr>
              <w:pStyle w:val="0"/>
              <w:jc w:val="center"/>
            </w:pPr>
            <w:r>
              <w:rPr>
                <w:sz w:val="20"/>
              </w:rPr>
              <w:t xml:space="preserve">10308,3</w:t>
            </w:r>
          </w:p>
        </w:tc>
        <w:tc>
          <w:tcPr>
            <w:tcW w:w="1144" w:type="dxa"/>
            <w:vAlign w:val="center"/>
          </w:tcPr>
          <w:p>
            <w:pPr>
              <w:pStyle w:val="0"/>
              <w:jc w:val="center"/>
            </w:pPr>
            <w:r>
              <w:rPr>
                <w:sz w:val="20"/>
              </w:rPr>
              <w:t xml:space="preserve">10663,7</w:t>
            </w:r>
          </w:p>
        </w:tc>
        <w:tc>
          <w:tcPr>
            <w:tcW w:w="1024" w:type="dxa"/>
            <w:vAlign w:val="center"/>
          </w:tcPr>
          <w:p>
            <w:pPr>
              <w:pStyle w:val="0"/>
              <w:jc w:val="center"/>
            </w:pPr>
            <w:r>
              <w:rPr>
                <w:sz w:val="20"/>
              </w:rPr>
              <w:t xml:space="preserve">11051,1</w:t>
            </w:r>
          </w:p>
        </w:tc>
        <w:tc>
          <w:tcPr>
            <w:tcW w:w="1144" w:type="dxa"/>
            <w:vAlign w:val="center"/>
          </w:tcPr>
          <w:p>
            <w:pPr>
              <w:pStyle w:val="0"/>
              <w:jc w:val="center"/>
            </w:pPr>
            <w:r>
              <w:rPr>
                <w:sz w:val="20"/>
              </w:rPr>
              <w:t xml:space="preserve">51427,8</w:t>
            </w:r>
          </w:p>
        </w:tc>
      </w:tr>
      <w:tr>
        <w:tc>
          <w:tcPr>
            <w:tcW w:w="1849" w:type="dxa"/>
            <w:vAlign w:val="center"/>
          </w:tcPr>
          <w:p>
            <w:pPr>
              <w:pStyle w:val="0"/>
              <w:jc w:val="center"/>
            </w:pPr>
            <w:r>
              <w:rPr>
                <w:sz w:val="20"/>
              </w:rPr>
              <w:t xml:space="preserve">Основное мероприятие 4.2</w:t>
            </w:r>
          </w:p>
        </w:tc>
        <w:tc>
          <w:tcPr>
            <w:tcW w:w="2835" w:type="dxa"/>
            <w:vAlign w:val="center"/>
          </w:tcPr>
          <w:p>
            <w:pPr>
              <w:pStyle w:val="0"/>
              <w:jc w:val="center"/>
            </w:pPr>
            <w:r>
              <w:rPr>
                <w:sz w:val="20"/>
              </w:rPr>
              <w:t xml:space="preserve">Сохранение, воспроизводство и использование животного мира</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12 4 2999</w:t>
            </w:r>
          </w:p>
        </w:tc>
        <w:tc>
          <w:tcPr>
            <w:tcW w:w="484" w:type="dxa"/>
            <w:vAlign w:val="center"/>
          </w:tcPr>
          <w:p>
            <w:pPr>
              <w:pStyle w:val="0"/>
              <w:jc w:val="center"/>
            </w:pPr>
            <w:r>
              <w:rPr>
                <w:sz w:val="20"/>
              </w:rPr>
              <w:t xml:space="preserve">244</w:t>
            </w:r>
          </w:p>
        </w:tc>
        <w:tc>
          <w:tcPr>
            <w:tcW w:w="1909" w:type="dxa"/>
            <w:vAlign w:val="center"/>
          </w:tcPr>
          <w:p>
            <w:pPr>
              <w:pStyle w:val="0"/>
              <w:jc w:val="center"/>
            </w:pPr>
            <w:r>
              <w:rPr>
                <w:sz w:val="20"/>
              </w:rPr>
              <w:t xml:space="preserve">1165,0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tcW w:w="1849" w:type="dxa"/>
            <w:vAlign w:val="center"/>
          </w:tcPr>
          <w:p>
            <w:pPr>
              <w:pStyle w:val="0"/>
              <w:jc w:val="center"/>
            </w:pPr>
            <w:r>
              <w:rPr>
                <w:sz w:val="20"/>
              </w:rPr>
              <w:t xml:space="preserve">Основное мероприятие 4.4</w:t>
            </w:r>
          </w:p>
        </w:tc>
        <w:tc>
          <w:tcPr>
            <w:tcW w:w="2835" w:type="dxa"/>
            <w:vAlign w:val="center"/>
          </w:tcPr>
          <w:p>
            <w:pPr>
              <w:pStyle w:val="0"/>
              <w:jc w:val="center"/>
            </w:pPr>
            <w:r>
              <w:rPr>
                <w:sz w:val="20"/>
              </w:rPr>
              <w:t xml:space="preserve">Осуществление переданных органам государственной власти субъектов Российской Федерации в соответствии с </w:t>
            </w:r>
            <w:hyperlink w:history="0" r:id="rId213"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КонсультантПлюс}">
              <w:r>
                <w:rPr>
                  <w:sz w:val="20"/>
                  <w:color w:val="0000ff"/>
                </w:rPr>
                <w:t xml:space="preserve">частью 1 статьи 33</w:t>
              </w:r>
            </w:hyperlink>
            <w:r>
              <w:rPr>
                <w:sz w:val="20"/>
              </w:rP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12 4 0459700</w:t>
            </w:r>
          </w:p>
        </w:tc>
        <w:tc>
          <w:tcPr>
            <w:tcW w:w="484" w:type="dxa"/>
            <w:vAlign w:val="center"/>
          </w:tcPr>
          <w:p>
            <w:pPr>
              <w:pStyle w:val="0"/>
              <w:jc w:val="center"/>
            </w:pPr>
            <w:r>
              <w:rPr>
                <w:sz w:val="20"/>
              </w:rPr>
              <w:t xml:space="preserve">100</w:t>
            </w:r>
          </w:p>
        </w:tc>
        <w:tc>
          <w:tcPr>
            <w:tcW w:w="1909" w:type="dxa"/>
            <w:vAlign w:val="center"/>
          </w:tcPr>
          <w:p>
            <w:pPr>
              <w:pStyle w:val="0"/>
              <w:jc w:val="center"/>
            </w:pPr>
            <w:r>
              <w:rPr>
                <w:sz w:val="20"/>
              </w:rPr>
              <w:t xml:space="preserve">60548,4</w:t>
            </w:r>
          </w:p>
        </w:tc>
        <w:tc>
          <w:tcPr>
            <w:tcW w:w="1024" w:type="dxa"/>
            <w:vAlign w:val="center"/>
          </w:tcPr>
          <w:p>
            <w:pPr>
              <w:pStyle w:val="0"/>
              <w:jc w:val="center"/>
            </w:pPr>
            <w:r>
              <w:rPr>
                <w:sz w:val="20"/>
              </w:rPr>
              <w:t xml:space="preserve">9157,1</w:t>
            </w:r>
          </w:p>
        </w:tc>
        <w:tc>
          <w:tcPr>
            <w:tcW w:w="1144" w:type="dxa"/>
            <w:vAlign w:val="center"/>
          </w:tcPr>
          <w:p>
            <w:pPr>
              <w:pStyle w:val="0"/>
              <w:jc w:val="center"/>
            </w:pPr>
            <w:r>
              <w:rPr>
                <w:sz w:val="20"/>
              </w:rPr>
              <w:t xml:space="preserve">10051,3</w:t>
            </w:r>
          </w:p>
        </w:tc>
        <w:tc>
          <w:tcPr>
            <w:tcW w:w="1144" w:type="dxa"/>
            <w:vAlign w:val="center"/>
          </w:tcPr>
          <w:p>
            <w:pPr>
              <w:pStyle w:val="0"/>
              <w:jc w:val="center"/>
            </w:pPr>
            <w:r>
              <w:rPr>
                <w:sz w:val="20"/>
              </w:rPr>
              <w:t xml:space="preserve">10228,1</w:t>
            </w:r>
          </w:p>
        </w:tc>
        <w:tc>
          <w:tcPr>
            <w:tcW w:w="1144" w:type="dxa"/>
            <w:vAlign w:val="center"/>
          </w:tcPr>
          <w:p>
            <w:pPr>
              <w:pStyle w:val="0"/>
              <w:jc w:val="center"/>
            </w:pPr>
            <w:r>
              <w:rPr>
                <w:sz w:val="20"/>
              </w:rPr>
              <w:t xml:space="preserve">10583,5</w:t>
            </w:r>
          </w:p>
        </w:tc>
        <w:tc>
          <w:tcPr>
            <w:tcW w:w="1024" w:type="dxa"/>
            <w:vAlign w:val="center"/>
          </w:tcPr>
          <w:p>
            <w:pPr>
              <w:pStyle w:val="0"/>
              <w:jc w:val="center"/>
            </w:pPr>
            <w:r>
              <w:rPr>
                <w:sz w:val="20"/>
              </w:rPr>
              <w:t xml:space="preserve">10970,9</w:t>
            </w:r>
          </w:p>
        </w:tc>
        <w:tc>
          <w:tcPr>
            <w:tcW w:w="1144" w:type="dxa"/>
            <w:vAlign w:val="center"/>
          </w:tcPr>
          <w:p>
            <w:pPr>
              <w:pStyle w:val="0"/>
              <w:jc w:val="center"/>
            </w:pPr>
            <w:r>
              <w:rPr>
                <w:sz w:val="20"/>
              </w:rPr>
              <w:t xml:space="preserve">50990,9</w:t>
            </w:r>
          </w:p>
        </w:tc>
      </w:tr>
      <w:tr>
        <w:tc>
          <w:tcPr>
            <w:tcW w:w="1849" w:type="dxa"/>
            <w:vAlign w:val="center"/>
          </w:tcPr>
          <w:p>
            <w:pPr>
              <w:pStyle w:val="0"/>
              <w:jc w:val="center"/>
            </w:pPr>
            <w:r>
              <w:rPr>
                <w:sz w:val="20"/>
              </w:rPr>
              <w:t xml:space="preserve">Основное мероприятие 4.5</w:t>
            </w:r>
          </w:p>
        </w:tc>
        <w:tc>
          <w:tcPr>
            <w:tcW w:w="2835" w:type="dxa"/>
            <w:vAlign w:val="center"/>
          </w:tcPr>
          <w:p>
            <w:pPr>
              <w:pStyle w:val="0"/>
              <w:jc w:val="center"/>
            </w:pPr>
            <w:r>
              <w:rPr>
                <w:sz w:val="20"/>
              </w:rPr>
              <w:t xml:space="preserve">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0603</w:t>
            </w:r>
          </w:p>
        </w:tc>
        <w:tc>
          <w:tcPr>
            <w:tcW w:w="1587" w:type="dxa"/>
            <w:vAlign w:val="center"/>
          </w:tcPr>
          <w:p>
            <w:pPr>
              <w:pStyle w:val="0"/>
              <w:jc w:val="center"/>
            </w:pPr>
            <w:r>
              <w:rPr>
                <w:sz w:val="20"/>
              </w:rPr>
              <w:t xml:space="preserve">12 4 0559200</w:t>
            </w:r>
          </w:p>
        </w:tc>
        <w:tc>
          <w:tcPr>
            <w:tcW w:w="484" w:type="dxa"/>
            <w:vAlign w:val="center"/>
          </w:tcPr>
          <w:p>
            <w:pPr>
              <w:pStyle w:val="0"/>
              <w:jc w:val="center"/>
            </w:pPr>
            <w:r>
              <w:rPr>
                <w:sz w:val="20"/>
              </w:rPr>
              <w:t xml:space="preserve">244</w:t>
            </w:r>
          </w:p>
        </w:tc>
        <w:tc>
          <w:tcPr>
            <w:tcW w:w="1909" w:type="dxa"/>
            <w:vAlign w:val="center"/>
          </w:tcPr>
          <w:p>
            <w:pPr>
              <w:pStyle w:val="0"/>
              <w:jc w:val="center"/>
            </w:pPr>
            <w:r>
              <w:rPr>
                <w:sz w:val="20"/>
              </w:rPr>
              <w:t xml:space="preserve">592,7</w:t>
            </w:r>
          </w:p>
        </w:tc>
        <w:tc>
          <w:tcPr>
            <w:tcW w:w="1024" w:type="dxa"/>
            <w:vAlign w:val="center"/>
          </w:tcPr>
          <w:p>
            <w:pPr>
              <w:pStyle w:val="0"/>
              <w:jc w:val="center"/>
            </w:pPr>
            <w:r>
              <w:rPr>
                <w:sz w:val="20"/>
              </w:rPr>
              <w:t xml:space="preserve">98,6</w:t>
            </w:r>
          </w:p>
        </w:tc>
        <w:tc>
          <w:tcPr>
            <w:tcW w:w="1144" w:type="dxa"/>
            <w:vAlign w:val="center"/>
          </w:tcPr>
          <w:p>
            <w:pPr>
              <w:pStyle w:val="0"/>
              <w:jc w:val="center"/>
            </w:pPr>
            <w:r>
              <w:rPr>
                <w:sz w:val="20"/>
              </w:rPr>
              <w:t xml:space="preserve">97,7</w:t>
            </w:r>
          </w:p>
        </w:tc>
        <w:tc>
          <w:tcPr>
            <w:tcW w:w="1144" w:type="dxa"/>
            <w:vAlign w:val="center"/>
          </w:tcPr>
          <w:p>
            <w:pPr>
              <w:pStyle w:val="0"/>
              <w:jc w:val="center"/>
            </w:pPr>
            <w:r>
              <w:rPr>
                <w:sz w:val="20"/>
              </w:rPr>
              <w:t xml:space="preserve">80,2</w:t>
            </w:r>
          </w:p>
        </w:tc>
        <w:tc>
          <w:tcPr>
            <w:tcW w:w="1144" w:type="dxa"/>
            <w:vAlign w:val="center"/>
          </w:tcPr>
          <w:p>
            <w:pPr>
              <w:pStyle w:val="0"/>
              <w:jc w:val="center"/>
            </w:pPr>
            <w:r>
              <w:rPr>
                <w:sz w:val="20"/>
              </w:rPr>
              <w:t xml:space="preserve">80,2</w:t>
            </w:r>
          </w:p>
        </w:tc>
        <w:tc>
          <w:tcPr>
            <w:tcW w:w="1024" w:type="dxa"/>
            <w:vAlign w:val="center"/>
          </w:tcPr>
          <w:p>
            <w:pPr>
              <w:pStyle w:val="0"/>
              <w:jc w:val="center"/>
            </w:pPr>
            <w:r>
              <w:rPr>
                <w:sz w:val="20"/>
              </w:rPr>
              <w:t xml:space="preserve">80,2</w:t>
            </w:r>
          </w:p>
        </w:tc>
        <w:tc>
          <w:tcPr>
            <w:tcW w:w="1144" w:type="dxa"/>
            <w:vAlign w:val="center"/>
          </w:tcPr>
          <w:p>
            <w:pPr>
              <w:pStyle w:val="0"/>
              <w:jc w:val="center"/>
            </w:pPr>
            <w:r>
              <w:rPr>
                <w:sz w:val="20"/>
              </w:rPr>
              <w:t xml:space="preserve">436,9</w:t>
            </w:r>
          </w:p>
        </w:tc>
      </w:tr>
      <w:tr>
        <w:tc>
          <w:tcPr>
            <w:tcW w:w="1849" w:type="dxa"/>
            <w:vAlign w:val="center"/>
            <w:vMerge w:val="restart"/>
          </w:tcPr>
          <w:p>
            <w:pPr>
              <w:pStyle w:val="0"/>
              <w:jc w:val="center"/>
            </w:pPr>
            <w:r>
              <w:rPr>
                <w:sz w:val="20"/>
              </w:rPr>
              <w:t xml:space="preserve">Подпрограмма 5</w:t>
            </w:r>
          </w:p>
        </w:tc>
        <w:tc>
          <w:tcPr>
            <w:tcW w:w="2835" w:type="dxa"/>
            <w:vAlign w:val="center"/>
            <w:vMerge w:val="restart"/>
          </w:tcPr>
          <w:p>
            <w:pPr>
              <w:pStyle w:val="0"/>
              <w:jc w:val="center"/>
            </w:pPr>
            <w:r>
              <w:rPr>
                <w:sz w:val="20"/>
              </w:rPr>
              <w:t xml:space="preserve">Любительское рыболовство и охрана водных биоресурсов</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1748,4</w:t>
            </w:r>
          </w:p>
        </w:tc>
        <w:tc>
          <w:tcPr>
            <w:tcW w:w="1024" w:type="dxa"/>
            <w:vAlign w:val="center"/>
          </w:tcPr>
          <w:p>
            <w:pPr>
              <w:pStyle w:val="0"/>
              <w:jc w:val="center"/>
            </w:pPr>
            <w:r>
              <w:rPr>
                <w:sz w:val="20"/>
              </w:rPr>
              <w:t xml:space="preserve">123,5</w:t>
            </w:r>
          </w:p>
        </w:tc>
        <w:tc>
          <w:tcPr>
            <w:tcW w:w="1144" w:type="dxa"/>
            <w:vAlign w:val="center"/>
          </w:tcPr>
          <w:p>
            <w:pPr>
              <w:pStyle w:val="0"/>
              <w:jc w:val="center"/>
            </w:pPr>
            <w:r>
              <w:rPr>
                <w:sz w:val="20"/>
              </w:rPr>
              <w:t xml:space="preserve">123,5</w:t>
            </w:r>
          </w:p>
        </w:tc>
        <w:tc>
          <w:tcPr>
            <w:tcW w:w="1144" w:type="dxa"/>
            <w:vAlign w:val="center"/>
          </w:tcPr>
          <w:p>
            <w:pPr>
              <w:pStyle w:val="0"/>
              <w:jc w:val="center"/>
            </w:pPr>
            <w:r>
              <w:rPr>
                <w:sz w:val="20"/>
              </w:rPr>
              <w:t xml:space="preserve">123,3</w:t>
            </w:r>
          </w:p>
        </w:tc>
        <w:tc>
          <w:tcPr>
            <w:tcW w:w="1144" w:type="dxa"/>
            <w:vAlign w:val="center"/>
          </w:tcPr>
          <w:p>
            <w:pPr>
              <w:pStyle w:val="0"/>
              <w:jc w:val="center"/>
            </w:pPr>
            <w:r>
              <w:rPr>
                <w:sz w:val="20"/>
              </w:rPr>
              <w:t xml:space="preserve">123,3</w:t>
            </w:r>
          </w:p>
        </w:tc>
        <w:tc>
          <w:tcPr>
            <w:tcW w:w="1024" w:type="dxa"/>
            <w:vAlign w:val="center"/>
          </w:tcPr>
          <w:p>
            <w:pPr>
              <w:pStyle w:val="0"/>
              <w:jc w:val="center"/>
            </w:pPr>
            <w:r>
              <w:rPr>
                <w:sz w:val="20"/>
              </w:rPr>
              <w:t xml:space="preserve">123,3</w:t>
            </w:r>
          </w:p>
        </w:tc>
        <w:tc>
          <w:tcPr>
            <w:tcW w:w="1144" w:type="dxa"/>
            <w:vAlign w:val="center"/>
          </w:tcPr>
          <w:p>
            <w:pPr>
              <w:pStyle w:val="0"/>
              <w:jc w:val="center"/>
            </w:pPr>
            <w:r>
              <w:rPr>
                <w:sz w:val="20"/>
              </w:rPr>
              <w:t xml:space="preserve">616,9</w:t>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1748,4</w:t>
            </w:r>
          </w:p>
        </w:tc>
        <w:tc>
          <w:tcPr>
            <w:tcW w:w="1024" w:type="dxa"/>
            <w:vAlign w:val="center"/>
          </w:tcPr>
          <w:p>
            <w:pPr>
              <w:pStyle w:val="0"/>
              <w:jc w:val="center"/>
            </w:pPr>
            <w:r>
              <w:rPr>
                <w:sz w:val="20"/>
              </w:rPr>
              <w:t xml:space="preserve">123,5</w:t>
            </w:r>
          </w:p>
        </w:tc>
        <w:tc>
          <w:tcPr>
            <w:tcW w:w="1144" w:type="dxa"/>
            <w:vAlign w:val="center"/>
          </w:tcPr>
          <w:p>
            <w:pPr>
              <w:pStyle w:val="0"/>
              <w:jc w:val="center"/>
            </w:pPr>
            <w:r>
              <w:rPr>
                <w:sz w:val="20"/>
              </w:rPr>
              <w:t xml:space="preserve">123,5</w:t>
            </w:r>
          </w:p>
        </w:tc>
        <w:tc>
          <w:tcPr>
            <w:tcW w:w="1144" w:type="dxa"/>
            <w:vAlign w:val="center"/>
          </w:tcPr>
          <w:p>
            <w:pPr>
              <w:pStyle w:val="0"/>
              <w:jc w:val="center"/>
            </w:pPr>
            <w:r>
              <w:rPr>
                <w:sz w:val="20"/>
              </w:rPr>
              <w:t xml:space="preserve">123,3</w:t>
            </w:r>
          </w:p>
        </w:tc>
        <w:tc>
          <w:tcPr>
            <w:tcW w:w="1144" w:type="dxa"/>
            <w:vAlign w:val="center"/>
          </w:tcPr>
          <w:p>
            <w:pPr>
              <w:pStyle w:val="0"/>
              <w:jc w:val="center"/>
            </w:pPr>
            <w:r>
              <w:rPr>
                <w:sz w:val="20"/>
              </w:rPr>
              <w:t xml:space="preserve">123,3</w:t>
            </w:r>
          </w:p>
        </w:tc>
        <w:tc>
          <w:tcPr>
            <w:tcW w:w="1024" w:type="dxa"/>
            <w:vAlign w:val="center"/>
          </w:tcPr>
          <w:p>
            <w:pPr>
              <w:pStyle w:val="0"/>
              <w:jc w:val="center"/>
            </w:pPr>
            <w:r>
              <w:rPr>
                <w:sz w:val="20"/>
              </w:rPr>
              <w:t xml:space="preserve">123,3</w:t>
            </w:r>
          </w:p>
        </w:tc>
        <w:tc>
          <w:tcPr>
            <w:tcW w:w="1144" w:type="dxa"/>
            <w:vAlign w:val="center"/>
          </w:tcPr>
          <w:p>
            <w:pPr>
              <w:pStyle w:val="0"/>
              <w:jc w:val="center"/>
            </w:pPr>
            <w:r>
              <w:rPr>
                <w:sz w:val="20"/>
              </w:rPr>
              <w:t xml:space="preserve">616,9</w:t>
            </w:r>
          </w:p>
        </w:tc>
      </w:tr>
      <w:tr>
        <w:tc>
          <w:tcPr>
            <w:tcW w:w="1849" w:type="dxa"/>
            <w:vAlign w:val="center"/>
          </w:tcPr>
          <w:p>
            <w:pPr>
              <w:pStyle w:val="0"/>
              <w:jc w:val="center"/>
            </w:pPr>
            <w:r>
              <w:rPr>
                <w:sz w:val="20"/>
              </w:rPr>
              <w:t xml:space="preserve">Основное мероприятие 5.1</w:t>
            </w:r>
          </w:p>
        </w:tc>
        <w:tc>
          <w:tcPr>
            <w:tcW w:w="2835" w:type="dxa"/>
            <w:vAlign w:val="center"/>
          </w:tcPr>
          <w:p>
            <w:pPr>
              <w:pStyle w:val="0"/>
              <w:jc w:val="center"/>
            </w:pPr>
            <w:r>
              <w:rPr>
                <w:sz w:val="20"/>
              </w:rPr>
              <w:t xml:space="preserve">Организация, регулирование и охрана водных биологических ресурсов на территории Белгородской области</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0405</w:t>
            </w:r>
          </w:p>
        </w:tc>
        <w:tc>
          <w:tcPr>
            <w:tcW w:w="1587" w:type="dxa"/>
            <w:vAlign w:val="center"/>
          </w:tcPr>
          <w:p>
            <w:pPr>
              <w:pStyle w:val="0"/>
              <w:jc w:val="center"/>
            </w:pPr>
            <w:r>
              <w:rPr>
                <w:sz w:val="20"/>
              </w:rPr>
              <w:t xml:space="preserve">12 5 0159100</w:t>
            </w:r>
          </w:p>
        </w:tc>
        <w:tc>
          <w:tcPr>
            <w:tcW w:w="484" w:type="dxa"/>
            <w:vAlign w:val="center"/>
          </w:tcPr>
          <w:p>
            <w:pPr>
              <w:pStyle w:val="0"/>
              <w:jc w:val="center"/>
            </w:pPr>
            <w:r>
              <w:rPr>
                <w:sz w:val="20"/>
              </w:rPr>
              <w:t xml:space="preserve">244</w:t>
            </w:r>
          </w:p>
        </w:tc>
        <w:tc>
          <w:tcPr>
            <w:tcW w:w="1909" w:type="dxa"/>
            <w:vAlign w:val="center"/>
          </w:tcPr>
          <w:p>
            <w:pPr>
              <w:pStyle w:val="0"/>
              <w:jc w:val="center"/>
            </w:pPr>
            <w:r>
              <w:rPr>
                <w:sz w:val="20"/>
              </w:rPr>
              <w:t xml:space="preserve">164,4</w:t>
            </w:r>
          </w:p>
        </w:tc>
        <w:tc>
          <w:tcPr>
            <w:tcW w:w="1024" w:type="dxa"/>
            <w:vAlign w:val="center"/>
          </w:tcPr>
          <w:p>
            <w:pPr>
              <w:pStyle w:val="0"/>
              <w:jc w:val="center"/>
            </w:pPr>
            <w:r>
              <w:rPr>
                <w:sz w:val="20"/>
              </w:rPr>
              <w:t xml:space="preserve">27,5</w:t>
            </w:r>
          </w:p>
        </w:tc>
        <w:tc>
          <w:tcPr>
            <w:tcW w:w="1144" w:type="dxa"/>
            <w:vAlign w:val="center"/>
          </w:tcPr>
          <w:p>
            <w:pPr>
              <w:pStyle w:val="0"/>
              <w:jc w:val="center"/>
            </w:pPr>
            <w:r>
              <w:rPr>
                <w:sz w:val="20"/>
              </w:rPr>
              <w:t xml:space="preserve">27,5</w:t>
            </w:r>
          </w:p>
        </w:tc>
        <w:tc>
          <w:tcPr>
            <w:tcW w:w="1144" w:type="dxa"/>
            <w:vAlign w:val="center"/>
          </w:tcPr>
          <w:p>
            <w:pPr>
              <w:pStyle w:val="0"/>
              <w:jc w:val="center"/>
            </w:pPr>
            <w:r>
              <w:rPr>
                <w:sz w:val="20"/>
              </w:rPr>
              <w:t xml:space="preserve">27,3</w:t>
            </w:r>
          </w:p>
        </w:tc>
        <w:tc>
          <w:tcPr>
            <w:tcW w:w="1144" w:type="dxa"/>
            <w:vAlign w:val="center"/>
          </w:tcPr>
          <w:p>
            <w:pPr>
              <w:pStyle w:val="0"/>
              <w:jc w:val="center"/>
            </w:pPr>
            <w:r>
              <w:rPr>
                <w:sz w:val="20"/>
              </w:rPr>
              <w:t xml:space="preserve">27,3</w:t>
            </w:r>
          </w:p>
        </w:tc>
        <w:tc>
          <w:tcPr>
            <w:tcW w:w="1024" w:type="dxa"/>
            <w:vAlign w:val="center"/>
          </w:tcPr>
          <w:p>
            <w:pPr>
              <w:pStyle w:val="0"/>
              <w:jc w:val="center"/>
            </w:pPr>
            <w:r>
              <w:rPr>
                <w:sz w:val="20"/>
              </w:rPr>
              <w:t xml:space="preserve">27,3</w:t>
            </w:r>
          </w:p>
        </w:tc>
        <w:tc>
          <w:tcPr>
            <w:tcW w:w="1144" w:type="dxa"/>
            <w:vAlign w:val="center"/>
          </w:tcPr>
          <w:p>
            <w:pPr>
              <w:pStyle w:val="0"/>
              <w:jc w:val="center"/>
            </w:pPr>
            <w:r>
              <w:rPr>
                <w:sz w:val="20"/>
              </w:rPr>
              <w:t xml:space="preserve">136,9</w:t>
            </w:r>
          </w:p>
        </w:tc>
      </w:tr>
      <w:tr>
        <w:tc>
          <w:tcPr>
            <w:tcW w:w="1849" w:type="dxa"/>
            <w:vAlign w:val="center"/>
          </w:tcPr>
          <w:p>
            <w:pPr>
              <w:pStyle w:val="0"/>
              <w:jc w:val="center"/>
            </w:pPr>
            <w:r>
              <w:rPr>
                <w:sz w:val="20"/>
              </w:rPr>
              <w:t xml:space="preserve">Основное мероприятие 5.2</w:t>
            </w:r>
          </w:p>
        </w:tc>
        <w:tc>
          <w:tcPr>
            <w:tcW w:w="2835" w:type="dxa"/>
            <w:vAlign w:val="center"/>
          </w:tcPr>
          <w:p>
            <w:pPr>
              <w:pStyle w:val="0"/>
              <w:jc w:val="center"/>
            </w:pPr>
            <w:r>
              <w:rPr>
                <w:sz w:val="20"/>
              </w:rPr>
              <w:t xml:space="preserve">Поддержка любительского рыболовства и охрана водных биоресурсов на территории Белгородской области</w:t>
            </w: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0405</w:t>
            </w:r>
          </w:p>
        </w:tc>
        <w:tc>
          <w:tcPr>
            <w:tcW w:w="1587" w:type="dxa"/>
            <w:vAlign w:val="center"/>
          </w:tcPr>
          <w:p>
            <w:pPr>
              <w:pStyle w:val="0"/>
              <w:jc w:val="center"/>
            </w:pPr>
            <w:r>
              <w:rPr>
                <w:sz w:val="20"/>
              </w:rPr>
              <w:t xml:space="preserve">12 5 0229990</w:t>
            </w:r>
          </w:p>
        </w:tc>
        <w:tc>
          <w:tcPr>
            <w:tcW w:w="484" w:type="dxa"/>
            <w:vAlign w:val="center"/>
          </w:tcPr>
          <w:p>
            <w:pPr>
              <w:pStyle w:val="0"/>
              <w:jc w:val="center"/>
            </w:pPr>
            <w:r>
              <w:rPr>
                <w:sz w:val="20"/>
              </w:rPr>
              <w:t xml:space="preserve">244</w:t>
            </w:r>
          </w:p>
        </w:tc>
        <w:tc>
          <w:tcPr>
            <w:tcW w:w="1909" w:type="dxa"/>
            <w:vAlign w:val="center"/>
          </w:tcPr>
          <w:p>
            <w:pPr>
              <w:pStyle w:val="0"/>
              <w:jc w:val="center"/>
            </w:pPr>
            <w:r>
              <w:rPr>
                <w:sz w:val="20"/>
              </w:rPr>
              <w:t xml:space="preserve">1584,0</w:t>
            </w:r>
          </w:p>
        </w:tc>
        <w:tc>
          <w:tcPr>
            <w:tcW w:w="1024" w:type="dxa"/>
            <w:vAlign w:val="center"/>
          </w:tcPr>
          <w:p>
            <w:pPr>
              <w:pStyle w:val="0"/>
              <w:jc w:val="center"/>
            </w:pPr>
            <w:r>
              <w:rPr>
                <w:sz w:val="20"/>
              </w:rPr>
              <w:t xml:space="preserve">96,0</w:t>
            </w:r>
          </w:p>
        </w:tc>
        <w:tc>
          <w:tcPr>
            <w:tcW w:w="1144" w:type="dxa"/>
            <w:vAlign w:val="center"/>
          </w:tcPr>
          <w:p>
            <w:pPr>
              <w:pStyle w:val="0"/>
              <w:jc w:val="center"/>
            </w:pPr>
            <w:r>
              <w:rPr>
                <w:sz w:val="20"/>
              </w:rPr>
              <w:t xml:space="preserve">96,0</w:t>
            </w:r>
          </w:p>
        </w:tc>
        <w:tc>
          <w:tcPr>
            <w:tcW w:w="1144" w:type="dxa"/>
            <w:vAlign w:val="center"/>
          </w:tcPr>
          <w:p>
            <w:pPr>
              <w:pStyle w:val="0"/>
              <w:jc w:val="center"/>
            </w:pPr>
            <w:r>
              <w:rPr>
                <w:sz w:val="20"/>
              </w:rPr>
              <w:t xml:space="preserve">96,0</w:t>
            </w:r>
          </w:p>
        </w:tc>
        <w:tc>
          <w:tcPr>
            <w:tcW w:w="1144" w:type="dxa"/>
            <w:vAlign w:val="center"/>
          </w:tcPr>
          <w:p>
            <w:pPr>
              <w:pStyle w:val="0"/>
              <w:jc w:val="center"/>
            </w:pPr>
            <w:r>
              <w:rPr>
                <w:sz w:val="20"/>
              </w:rPr>
              <w:t xml:space="preserve">96,0</w:t>
            </w:r>
          </w:p>
        </w:tc>
        <w:tc>
          <w:tcPr>
            <w:tcW w:w="1024" w:type="dxa"/>
            <w:vAlign w:val="center"/>
          </w:tcPr>
          <w:p>
            <w:pPr>
              <w:pStyle w:val="0"/>
              <w:jc w:val="center"/>
            </w:pPr>
            <w:r>
              <w:rPr>
                <w:sz w:val="20"/>
              </w:rPr>
              <w:t xml:space="preserve">96,0</w:t>
            </w:r>
          </w:p>
        </w:tc>
        <w:tc>
          <w:tcPr>
            <w:tcW w:w="1144" w:type="dxa"/>
            <w:vAlign w:val="center"/>
          </w:tcPr>
          <w:p>
            <w:pPr>
              <w:pStyle w:val="0"/>
              <w:jc w:val="center"/>
            </w:pPr>
            <w:r>
              <w:rPr>
                <w:sz w:val="20"/>
              </w:rPr>
              <w:t xml:space="preserve">480,0</w:t>
            </w:r>
          </w:p>
        </w:tc>
      </w:tr>
      <w:tr>
        <w:tc>
          <w:tcPr>
            <w:tcW w:w="1849" w:type="dxa"/>
            <w:vAlign w:val="center"/>
            <w:vMerge w:val="restart"/>
          </w:tcPr>
          <w:p>
            <w:pPr>
              <w:pStyle w:val="0"/>
              <w:jc w:val="center"/>
            </w:pPr>
            <w:r>
              <w:rPr>
                <w:sz w:val="20"/>
              </w:rPr>
              <w:t xml:space="preserve">Подпрограмма 6</w:t>
            </w:r>
          </w:p>
        </w:tc>
        <w:tc>
          <w:tcPr>
            <w:tcW w:w="2835" w:type="dxa"/>
            <w:vAlign w:val="center"/>
            <w:vMerge w:val="restart"/>
          </w:tcPr>
          <w:p>
            <w:pPr>
              <w:pStyle w:val="0"/>
              <w:jc w:val="center"/>
            </w:pPr>
            <w:r>
              <w:rPr>
                <w:sz w:val="20"/>
              </w:rPr>
              <w:t xml:space="preserve">Обеспечение реализации государственной программы</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1270229,6</w:t>
            </w:r>
          </w:p>
        </w:tc>
        <w:tc>
          <w:tcPr>
            <w:tcW w:w="1024" w:type="dxa"/>
            <w:vAlign w:val="center"/>
          </w:tcPr>
          <w:p>
            <w:pPr>
              <w:pStyle w:val="0"/>
              <w:jc w:val="center"/>
            </w:pPr>
            <w:r>
              <w:rPr>
                <w:sz w:val="20"/>
              </w:rPr>
              <w:t xml:space="preserve">113666,0</w:t>
            </w:r>
          </w:p>
        </w:tc>
        <w:tc>
          <w:tcPr>
            <w:tcW w:w="1144" w:type="dxa"/>
            <w:vAlign w:val="center"/>
          </w:tcPr>
          <w:p>
            <w:pPr>
              <w:pStyle w:val="0"/>
              <w:jc w:val="center"/>
            </w:pPr>
            <w:r>
              <w:rPr>
                <w:sz w:val="20"/>
              </w:rPr>
              <w:t xml:space="preserve">134073,7</w:t>
            </w:r>
          </w:p>
        </w:tc>
        <w:tc>
          <w:tcPr>
            <w:tcW w:w="1144" w:type="dxa"/>
            <w:vAlign w:val="center"/>
          </w:tcPr>
          <w:p>
            <w:pPr>
              <w:pStyle w:val="0"/>
              <w:jc w:val="center"/>
            </w:pPr>
            <w:r>
              <w:rPr>
                <w:sz w:val="20"/>
              </w:rPr>
              <w:t xml:space="preserve">115845</w:t>
            </w:r>
          </w:p>
        </w:tc>
        <w:tc>
          <w:tcPr>
            <w:tcW w:w="1144" w:type="dxa"/>
            <w:vAlign w:val="center"/>
          </w:tcPr>
          <w:p>
            <w:pPr>
              <w:pStyle w:val="0"/>
              <w:jc w:val="center"/>
            </w:pPr>
            <w:r>
              <w:rPr>
                <w:sz w:val="20"/>
              </w:rPr>
              <w:t xml:space="preserve">120576</w:t>
            </w:r>
          </w:p>
        </w:tc>
        <w:tc>
          <w:tcPr>
            <w:tcW w:w="1024" w:type="dxa"/>
            <w:vAlign w:val="center"/>
          </w:tcPr>
          <w:p>
            <w:pPr>
              <w:pStyle w:val="0"/>
              <w:jc w:val="center"/>
            </w:pPr>
            <w:r>
              <w:rPr>
                <w:sz w:val="20"/>
              </w:rPr>
              <w:t xml:space="preserve">124451</w:t>
            </w:r>
          </w:p>
        </w:tc>
        <w:tc>
          <w:tcPr>
            <w:tcW w:w="1144" w:type="dxa"/>
            <w:vAlign w:val="center"/>
          </w:tcPr>
          <w:p>
            <w:pPr>
              <w:pStyle w:val="0"/>
              <w:jc w:val="center"/>
            </w:pPr>
            <w:r>
              <w:rPr>
                <w:sz w:val="20"/>
              </w:rPr>
              <w:t xml:space="preserve">608611,7</w:t>
            </w:r>
          </w:p>
        </w:tc>
      </w:tr>
      <w:tr>
        <w:tc>
          <w:tcPr>
            <w:vMerge w:val="continue"/>
          </w:tcPr>
          <w:p/>
        </w:tc>
        <w:tc>
          <w:tcPr>
            <w:vMerge w:val="continue"/>
          </w:tcP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107951,0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43989,0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1079249,7</w:t>
            </w:r>
          </w:p>
        </w:tc>
        <w:tc>
          <w:tcPr>
            <w:tcW w:w="1024" w:type="dxa"/>
            <w:vAlign w:val="center"/>
          </w:tcPr>
          <w:p>
            <w:pPr>
              <w:pStyle w:val="0"/>
              <w:jc w:val="center"/>
            </w:pPr>
            <w:r>
              <w:rPr>
                <w:sz w:val="20"/>
              </w:rPr>
              <w:t xml:space="preserve">109246,0</w:t>
            </w:r>
          </w:p>
        </w:tc>
        <w:tc>
          <w:tcPr>
            <w:tcW w:w="1144" w:type="dxa"/>
            <w:vAlign w:val="center"/>
          </w:tcPr>
          <w:p>
            <w:pPr>
              <w:pStyle w:val="0"/>
              <w:jc w:val="center"/>
            </w:pPr>
            <w:r>
              <w:rPr>
                <w:sz w:val="20"/>
              </w:rPr>
              <w:t xml:space="preserve">134073,7</w:t>
            </w:r>
          </w:p>
        </w:tc>
        <w:tc>
          <w:tcPr>
            <w:tcW w:w="1144" w:type="dxa"/>
            <w:vAlign w:val="center"/>
          </w:tcPr>
          <w:p>
            <w:pPr>
              <w:pStyle w:val="0"/>
              <w:jc w:val="center"/>
            </w:pPr>
            <w:r>
              <w:rPr>
                <w:sz w:val="20"/>
              </w:rPr>
              <w:t xml:space="preserve">115845</w:t>
            </w:r>
          </w:p>
        </w:tc>
        <w:tc>
          <w:tcPr>
            <w:tcW w:w="1144" w:type="dxa"/>
            <w:vAlign w:val="center"/>
          </w:tcPr>
          <w:p>
            <w:pPr>
              <w:pStyle w:val="0"/>
              <w:jc w:val="center"/>
            </w:pPr>
            <w:r>
              <w:rPr>
                <w:sz w:val="20"/>
              </w:rPr>
              <w:t xml:space="preserve">120576</w:t>
            </w:r>
          </w:p>
        </w:tc>
        <w:tc>
          <w:tcPr>
            <w:tcW w:w="1024" w:type="dxa"/>
            <w:vAlign w:val="center"/>
          </w:tcPr>
          <w:p>
            <w:pPr>
              <w:pStyle w:val="0"/>
              <w:jc w:val="center"/>
            </w:pPr>
            <w:r>
              <w:rPr>
                <w:sz w:val="20"/>
              </w:rPr>
              <w:t xml:space="preserve">124451</w:t>
            </w:r>
          </w:p>
        </w:tc>
        <w:tc>
          <w:tcPr>
            <w:tcW w:w="1144" w:type="dxa"/>
            <w:vAlign w:val="center"/>
          </w:tcPr>
          <w:p>
            <w:pPr>
              <w:pStyle w:val="0"/>
              <w:jc w:val="center"/>
            </w:pPr>
            <w:r>
              <w:rPr>
                <w:sz w:val="20"/>
              </w:rPr>
              <w:t xml:space="preserve">604191,7</w:t>
            </w:r>
          </w:p>
        </w:tc>
      </w:tr>
      <w:tr>
        <w:tc>
          <w:tcPr>
            <w:vMerge w:val="continue"/>
          </w:tcPr>
          <w:p/>
        </w:tc>
        <w:tc>
          <w:tcPr>
            <w:vMerge w:val="continue"/>
          </w:tcP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18176,1</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строительства и транспорта Белгородской области</w:t>
            </w:r>
          </w:p>
        </w:tc>
        <w:tc>
          <w:tcPr>
            <w:tcW w:w="694" w:type="dxa"/>
            <w:vAlign w:val="center"/>
          </w:tcPr>
          <w:p>
            <w:pPr>
              <w:pStyle w:val="0"/>
              <w:jc w:val="center"/>
            </w:pPr>
            <w:r>
              <w:rPr>
                <w:sz w:val="20"/>
              </w:rPr>
              <w:t xml:space="preserve">807</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20820,0</w:t>
            </w:r>
          </w:p>
        </w:tc>
        <w:tc>
          <w:tcPr>
            <w:tcW w:w="1024" w:type="dxa"/>
            <w:vAlign w:val="center"/>
          </w:tcPr>
          <w:p>
            <w:pPr>
              <w:pStyle w:val="0"/>
              <w:jc w:val="center"/>
            </w:pPr>
            <w:r>
              <w:rPr>
                <w:sz w:val="20"/>
              </w:rPr>
              <w:t xml:space="preserve">4420,0</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4420,0</w:t>
            </w:r>
          </w:p>
        </w:tc>
      </w:tr>
      <w:tr>
        <w:tc>
          <w:tcPr>
            <w:tcW w:w="1849" w:type="dxa"/>
            <w:vAlign w:val="center"/>
            <w:vMerge w:val="restart"/>
          </w:tcPr>
          <w:p>
            <w:pPr>
              <w:pStyle w:val="0"/>
              <w:jc w:val="center"/>
            </w:pPr>
            <w:r>
              <w:rPr>
                <w:sz w:val="20"/>
              </w:rPr>
              <w:t xml:space="preserve">Основное мероприятие 6.1</w:t>
            </w:r>
          </w:p>
        </w:tc>
        <w:tc>
          <w:tcPr>
            <w:tcW w:w="2835" w:type="dxa"/>
            <w:vAlign w:val="center"/>
            <w:vMerge w:val="restart"/>
          </w:tcPr>
          <w:p>
            <w:pPr>
              <w:pStyle w:val="0"/>
              <w:jc w:val="center"/>
            </w:pPr>
            <w:r>
              <w:rPr>
                <w:sz w:val="20"/>
              </w:rPr>
              <w:t xml:space="preserve">Обеспечение функций органов власти Белгородской области, в том числе территориальных органов</w:t>
            </w: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0104</w:t>
            </w:r>
          </w:p>
        </w:tc>
        <w:tc>
          <w:tcPr>
            <w:tcW w:w="1587" w:type="dxa"/>
            <w:vAlign w:val="center"/>
          </w:tcPr>
          <w:p>
            <w:pPr>
              <w:pStyle w:val="0"/>
              <w:jc w:val="center"/>
            </w:pPr>
            <w:r>
              <w:rPr>
                <w:sz w:val="20"/>
              </w:rPr>
              <w:t xml:space="preserve">12 6 00 19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91524,0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12 6 019001 9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32790,0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12 6 0190019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921048,5</w:t>
            </w:r>
          </w:p>
        </w:tc>
        <w:tc>
          <w:tcPr>
            <w:tcW w:w="1024" w:type="dxa"/>
            <w:vAlign w:val="center"/>
          </w:tcPr>
          <w:p>
            <w:pPr>
              <w:pStyle w:val="0"/>
              <w:jc w:val="center"/>
            </w:pPr>
            <w:r>
              <w:rPr>
                <w:sz w:val="20"/>
              </w:rPr>
              <w:t xml:space="preserve">91941,0</w:t>
            </w:r>
          </w:p>
        </w:tc>
        <w:tc>
          <w:tcPr>
            <w:tcW w:w="1144" w:type="dxa"/>
            <w:vAlign w:val="center"/>
          </w:tcPr>
          <w:p>
            <w:pPr>
              <w:pStyle w:val="0"/>
              <w:jc w:val="center"/>
            </w:pPr>
            <w:r>
              <w:rPr>
                <w:sz w:val="20"/>
              </w:rPr>
              <w:t xml:space="preserve">116965,7</w:t>
            </w:r>
          </w:p>
        </w:tc>
        <w:tc>
          <w:tcPr>
            <w:tcW w:w="1144" w:type="dxa"/>
            <w:vAlign w:val="center"/>
          </w:tcPr>
          <w:p>
            <w:pPr>
              <w:pStyle w:val="0"/>
              <w:jc w:val="center"/>
            </w:pPr>
            <w:r>
              <w:rPr>
                <w:sz w:val="20"/>
              </w:rPr>
              <w:t xml:space="preserve">98524</w:t>
            </w:r>
          </w:p>
        </w:tc>
        <w:tc>
          <w:tcPr>
            <w:tcW w:w="1144" w:type="dxa"/>
            <w:vAlign w:val="center"/>
          </w:tcPr>
          <w:p>
            <w:pPr>
              <w:pStyle w:val="0"/>
              <w:jc w:val="center"/>
            </w:pPr>
            <w:r>
              <w:rPr>
                <w:sz w:val="20"/>
              </w:rPr>
              <w:t xml:space="preserve">102446</w:t>
            </w:r>
          </w:p>
        </w:tc>
        <w:tc>
          <w:tcPr>
            <w:tcW w:w="1024" w:type="dxa"/>
            <w:vAlign w:val="center"/>
          </w:tcPr>
          <w:p>
            <w:pPr>
              <w:pStyle w:val="0"/>
              <w:jc w:val="center"/>
            </w:pPr>
            <w:r>
              <w:rPr>
                <w:sz w:val="20"/>
              </w:rPr>
              <w:t xml:space="preserve">105643</w:t>
            </w:r>
          </w:p>
        </w:tc>
        <w:tc>
          <w:tcPr>
            <w:tcW w:w="1144" w:type="dxa"/>
            <w:vAlign w:val="center"/>
          </w:tcPr>
          <w:p>
            <w:pPr>
              <w:pStyle w:val="0"/>
              <w:jc w:val="center"/>
            </w:pPr>
            <w:r>
              <w:rPr>
                <w:sz w:val="20"/>
              </w:rPr>
              <w:t xml:space="preserve">515519,7</w:t>
            </w:r>
          </w:p>
        </w:tc>
      </w:tr>
      <w:tr>
        <w:tc>
          <w:tcPr>
            <w:vMerge w:val="continue"/>
          </w:tcPr>
          <w:p/>
        </w:tc>
        <w:tc>
          <w:tcPr>
            <w:vMerge w:val="continue"/>
          </w:tcPr>
          <w:p/>
        </w:tc>
        <w:tc>
          <w:tcPr>
            <w:tcW w:w="2749" w:type="dxa"/>
            <w:vAlign w:val="center"/>
          </w:tcPr>
          <w:p>
            <w:pPr>
              <w:pStyle w:val="0"/>
              <w:jc w:val="center"/>
            </w:pPr>
            <w:r>
              <w:rPr>
                <w:sz w:val="20"/>
              </w:rPr>
              <w:t xml:space="preserve">Управление лесами Белгородской области</w:t>
            </w:r>
          </w:p>
        </w:tc>
        <w:tc>
          <w:tcPr>
            <w:tcW w:w="694" w:type="dxa"/>
            <w:vAlign w:val="center"/>
          </w:tcPr>
          <w:p>
            <w:pPr>
              <w:pStyle w:val="0"/>
              <w:jc w:val="center"/>
            </w:pPr>
            <w:r>
              <w:rPr>
                <w:sz w:val="20"/>
              </w:rPr>
              <w:t xml:space="preserve">852</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12 6 0190019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18176,1</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Департамент строительства и транспорта Белгородской области</w:t>
            </w:r>
          </w:p>
        </w:tc>
        <w:tc>
          <w:tcPr>
            <w:tcW w:w="694" w:type="dxa"/>
            <w:vAlign w:val="center"/>
          </w:tcPr>
          <w:p>
            <w:pPr>
              <w:pStyle w:val="0"/>
              <w:jc w:val="center"/>
            </w:pPr>
            <w:r>
              <w:rPr>
                <w:sz w:val="20"/>
              </w:rPr>
              <w:t xml:space="preserve">807</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1260122110</w:t>
            </w:r>
          </w:p>
        </w:tc>
        <w:tc>
          <w:tcPr>
            <w:tcW w:w="484" w:type="dxa"/>
            <w:vAlign w:val="center"/>
          </w:tcPr>
          <w:p>
            <w:pPr>
              <w:pStyle w:val="0"/>
              <w:jc w:val="center"/>
            </w:pPr>
            <w:r>
              <w:rPr>
                <w:sz w:val="20"/>
              </w:rPr>
              <w:t xml:space="preserve">600</w:t>
            </w:r>
          </w:p>
        </w:tc>
        <w:tc>
          <w:tcPr>
            <w:tcW w:w="1909" w:type="dxa"/>
            <w:vAlign w:val="center"/>
          </w:tcPr>
          <w:p>
            <w:pPr>
              <w:pStyle w:val="0"/>
              <w:jc w:val="center"/>
            </w:pPr>
            <w:r>
              <w:rPr>
                <w:sz w:val="20"/>
              </w:rPr>
              <w:t xml:space="preserve">20820,0</w:t>
            </w:r>
          </w:p>
        </w:tc>
        <w:tc>
          <w:tcPr>
            <w:tcW w:w="1024" w:type="dxa"/>
            <w:vAlign w:val="center"/>
          </w:tcPr>
          <w:p>
            <w:pPr>
              <w:pStyle w:val="0"/>
              <w:jc w:val="center"/>
            </w:pPr>
            <w:r>
              <w:rPr>
                <w:sz w:val="20"/>
              </w:rPr>
              <w:t xml:space="preserve">4420,0</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4420,0</w:t>
            </w:r>
          </w:p>
        </w:tc>
      </w:tr>
      <w:tr>
        <w:tc>
          <w:tcPr>
            <w:tcW w:w="1849" w:type="dxa"/>
            <w:vAlign w:val="center"/>
            <w:vMerge w:val="restart"/>
          </w:tcPr>
          <w:p>
            <w:pPr>
              <w:pStyle w:val="0"/>
              <w:jc w:val="center"/>
            </w:pPr>
            <w:r>
              <w:rPr>
                <w:sz w:val="20"/>
              </w:rPr>
              <w:t xml:space="preserve">Основное мероприятие 6.2</w:t>
            </w:r>
          </w:p>
        </w:tc>
        <w:tc>
          <w:tcPr>
            <w:tcW w:w="2835" w:type="dxa"/>
            <w:vAlign w:val="center"/>
            <w:vMerge w:val="restart"/>
          </w:tcPr>
          <w:p>
            <w:pPr>
              <w:pStyle w:val="0"/>
              <w:jc w:val="center"/>
            </w:pPr>
            <w:r>
              <w:rPr>
                <w:sz w:val="20"/>
              </w:rPr>
              <w:t xml:space="preserve">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2749" w:type="dxa"/>
            <w:vAlign w:val="center"/>
          </w:tcPr>
          <w:p>
            <w:pPr>
              <w:pStyle w:val="0"/>
              <w:jc w:val="center"/>
            </w:pPr>
            <w:r>
              <w:rPr>
                <w:sz w:val="20"/>
              </w:rPr>
              <w:t xml:space="preserve">Департамент природопользования и охраны окружающей среды Белгородской области</w:t>
            </w:r>
          </w:p>
        </w:tc>
        <w:tc>
          <w:tcPr>
            <w:tcW w:w="694" w:type="dxa"/>
            <w:vAlign w:val="center"/>
          </w:tcPr>
          <w:p>
            <w:pPr>
              <w:pStyle w:val="0"/>
              <w:jc w:val="center"/>
            </w:pPr>
            <w:r>
              <w:rPr>
                <w:sz w:val="20"/>
              </w:rPr>
              <w:t xml:space="preserve">818</w:t>
            </w:r>
          </w:p>
        </w:tc>
        <w:tc>
          <w:tcPr>
            <w:tcW w:w="604" w:type="dxa"/>
            <w:vAlign w:val="center"/>
          </w:tcPr>
          <w:p>
            <w:pPr>
              <w:pStyle w:val="0"/>
              <w:jc w:val="center"/>
            </w:pPr>
            <w:r>
              <w:rPr>
                <w:sz w:val="20"/>
              </w:rPr>
              <w:t xml:space="preserve">0104</w:t>
            </w:r>
          </w:p>
        </w:tc>
        <w:tc>
          <w:tcPr>
            <w:tcW w:w="1587" w:type="dxa"/>
            <w:vAlign w:val="center"/>
          </w:tcPr>
          <w:p>
            <w:pPr>
              <w:pStyle w:val="0"/>
              <w:jc w:val="center"/>
            </w:pPr>
            <w:r>
              <w:rPr>
                <w:sz w:val="20"/>
              </w:rPr>
              <w:t xml:space="preserve">12 6 00 19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16427,0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природопользования и охраны окружающей среды Белгородской области</w:t>
            </w:r>
          </w:p>
        </w:tc>
        <w:tc>
          <w:tcPr>
            <w:tcW w:w="694" w:type="dxa"/>
            <w:vAlign w:val="center"/>
          </w:tcPr>
          <w:p>
            <w:pPr>
              <w:pStyle w:val="0"/>
              <w:jc w:val="center"/>
            </w:pPr>
            <w:r>
              <w:rPr>
                <w:sz w:val="20"/>
              </w:rPr>
              <w:t xml:space="preserve">840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12 6 019001 9</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11199,0</w:t>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tcPr>
          <w:p>
            <w:pPr>
              <w:pStyle w:val="0"/>
              <w:jc w:val="center"/>
            </w:pPr>
            <w:r>
              <w:rPr>
                <w:sz w:val="20"/>
              </w:rPr>
              <w:t xml:space="preserve">Управление экологического и охотничьего надзора Белгородской области</w:t>
            </w:r>
          </w:p>
        </w:tc>
        <w:tc>
          <w:tcPr>
            <w:tcW w:w="694" w:type="dxa"/>
            <w:vAlign w:val="center"/>
          </w:tcPr>
          <w:p>
            <w:pPr>
              <w:pStyle w:val="0"/>
              <w:jc w:val="center"/>
            </w:pPr>
            <w:r>
              <w:rPr>
                <w:sz w:val="20"/>
              </w:rPr>
              <w:t xml:space="preserve">853</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12 6 02 71310</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158245</w:t>
            </w:r>
          </w:p>
        </w:tc>
        <w:tc>
          <w:tcPr>
            <w:tcW w:w="1024" w:type="dxa"/>
            <w:vAlign w:val="center"/>
          </w:tcPr>
          <w:p>
            <w:pPr>
              <w:pStyle w:val="0"/>
              <w:jc w:val="center"/>
            </w:pPr>
            <w:r>
              <w:rPr>
                <w:sz w:val="20"/>
              </w:rPr>
              <w:t xml:space="preserve">17305,0</w:t>
            </w:r>
          </w:p>
        </w:tc>
        <w:tc>
          <w:tcPr>
            <w:tcW w:w="1144" w:type="dxa"/>
            <w:vAlign w:val="center"/>
          </w:tcPr>
          <w:p>
            <w:pPr>
              <w:pStyle w:val="0"/>
              <w:jc w:val="center"/>
            </w:pPr>
            <w:r>
              <w:rPr>
                <w:sz w:val="20"/>
              </w:rPr>
              <w:t xml:space="preserve">17108,0</w:t>
            </w:r>
          </w:p>
        </w:tc>
        <w:tc>
          <w:tcPr>
            <w:tcW w:w="1144" w:type="dxa"/>
            <w:vAlign w:val="center"/>
          </w:tcPr>
          <w:p>
            <w:pPr>
              <w:pStyle w:val="0"/>
              <w:jc w:val="center"/>
            </w:pPr>
            <w:r>
              <w:rPr>
                <w:sz w:val="20"/>
              </w:rPr>
              <w:t xml:space="preserve">17321</w:t>
            </w:r>
          </w:p>
        </w:tc>
        <w:tc>
          <w:tcPr>
            <w:tcW w:w="1144" w:type="dxa"/>
            <w:vAlign w:val="center"/>
          </w:tcPr>
          <w:p>
            <w:pPr>
              <w:pStyle w:val="0"/>
              <w:jc w:val="center"/>
            </w:pPr>
            <w:r>
              <w:rPr>
                <w:sz w:val="20"/>
              </w:rPr>
              <w:t xml:space="preserve">18130</w:t>
            </w:r>
          </w:p>
        </w:tc>
        <w:tc>
          <w:tcPr>
            <w:tcW w:w="1024" w:type="dxa"/>
            <w:vAlign w:val="center"/>
          </w:tcPr>
          <w:p>
            <w:pPr>
              <w:pStyle w:val="0"/>
              <w:jc w:val="center"/>
            </w:pPr>
            <w:r>
              <w:rPr>
                <w:sz w:val="20"/>
              </w:rPr>
              <w:t xml:space="preserve">18808</w:t>
            </w:r>
          </w:p>
        </w:tc>
        <w:tc>
          <w:tcPr>
            <w:tcW w:w="1144" w:type="dxa"/>
            <w:vAlign w:val="center"/>
          </w:tcPr>
          <w:p>
            <w:pPr>
              <w:pStyle w:val="0"/>
              <w:jc w:val="center"/>
            </w:pPr>
            <w:r>
              <w:rPr>
                <w:sz w:val="20"/>
              </w:rPr>
              <w:t xml:space="preserve">88672</w:t>
            </w:r>
          </w:p>
        </w:tc>
      </w:tr>
      <w:tr>
        <w:tc>
          <w:tcPr>
            <w:tcW w:w="1849" w:type="dxa"/>
            <w:vAlign w:val="center"/>
            <w:vMerge w:val="restart"/>
          </w:tcPr>
          <w:p>
            <w:pPr>
              <w:pStyle w:val="0"/>
              <w:jc w:val="center"/>
            </w:pPr>
            <w:r>
              <w:rPr>
                <w:sz w:val="20"/>
              </w:rPr>
              <w:t xml:space="preserve">Подпрограмма 7</w:t>
            </w:r>
          </w:p>
        </w:tc>
        <w:tc>
          <w:tcPr>
            <w:tcW w:w="2835" w:type="dxa"/>
            <w:vAlign w:val="center"/>
            <w:vMerge w:val="restart"/>
          </w:tcPr>
          <w:p>
            <w:pPr>
              <w:pStyle w:val="0"/>
              <w:jc w:val="center"/>
            </w:pPr>
            <w:r>
              <w:rPr>
                <w:sz w:val="20"/>
              </w:rPr>
              <w:t xml:space="preserve">"Обращение с твердыми коммунальными отходами на территории Белгородской области"</w:t>
            </w:r>
          </w:p>
        </w:tc>
        <w:tc>
          <w:tcPr>
            <w:tcW w:w="2749" w:type="dxa"/>
            <w:vAlign w:val="center"/>
          </w:tcPr>
          <w:p>
            <w:pPr>
              <w:pStyle w:val="0"/>
              <w:jc w:val="center"/>
            </w:pPr>
            <w:r>
              <w:rPr>
                <w:sz w:val="20"/>
              </w:rPr>
              <w:t xml:space="preserve">Всего</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X</w:t>
            </w:r>
          </w:p>
        </w:tc>
        <w:tc>
          <w:tcPr>
            <w:tcW w:w="1587" w:type="dxa"/>
            <w:vAlign w:val="center"/>
          </w:tcPr>
          <w:p>
            <w:pPr>
              <w:pStyle w:val="0"/>
              <w:jc w:val="center"/>
            </w:pPr>
            <w:r>
              <w:rPr>
                <w:sz w:val="20"/>
              </w:rPr>
              <w:t xml:space="preserve">X</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1840033,9</w:t>
            </w:r>
          </w:p>
        </w:tc>
        <w:tc>
          <w:tcPr>
            <w:tcW w:w="1024" w:type="dxa"/>
            <w:vAlign w:val="center"/>
          </w:tcPr>
          <w:p>
            <w:pPr>
              <w:pStyle w:val="0"/>
              <w:jc w:val="center"/>
            </w:pPr>
            <w:r>
              <w:rPr>
                <w:sz w:val="20"/>
              </w:rPr>
              <w:t xml:space="preserve">51035,5</w:t>
            </w:r>
          </w:p>
        </w:tc>
        <w:tc>
          <w:tcPr>
            <w:tcW w:w="1144" w:type="dxa"/>
            <w:vAlign w:val="center"/>
          </w:tcPr>
          <w:p>
            <w:pPr>
              <w:pStyle w:val="0"/>
              <w:jc w:val="center"/>
            </w:pPr>
            <w:r>
              <w:rPr>
                <w:sz w:val="20"/>
              </w:rPr>
              <w:t xml:space="preserve">586998,6</w:t>
            </w:r>
          </w:p>
        </w:tc>
        <w:tc>
          <w:tcPr>
            <w:tcW w:w="1144" w:type="dxa"/>
            <w:vAlign w:val="center"/>
          </w:tcPr>
          <w:p>
            <w:pPr>
              <w:pStyle w:val="0"/>
              <w:jc w:val="center"/>
            </w:pPr>
            <w:r>
              <w:rPr>
                <w:sz w:val="20"/>
              </w:rPr>
              <w:t xml:space="preserve">553729,5</w:t>
            </w:r>
          </w:p>
        </w:tc>
        <w:tc>
          <w:tcPr>
            <w:tcW w:w="1144" w:type="dxa"/>
            <w:vAlign w:val="center"/>
          </w:tcPr>
          <w:p>
            <w:pPr>
              <w:pStyle w:val="0"/>
              <w:jc w:val="center"/>
            </w:pPr>
            <w:r>
              <w:rPr>
                <w:sz w:val="20"/>
              </w:rPr>
              <w:t xml:space="preserve">442920,2</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1634683,8</w:t>
            </w:r>
          </w:p>
        </w:tc>
      </w:tr>
      <w:tr>
        <w:tc>
          <w:tcPr>
            <w:vMerge w:val="continue"/>
          </w:tcPr>
          <w:p/>
        </w:tc>
        <w:tc>
          <w:tcPr>
            <w:vMerge w:val="continue"/>
          </w:tcP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256385,6</w:t>
            </w:r>
          </w:p>
        </w:tc>
        <w:tc>
          <w:tcPr>
            <w:tcW w:w="1024" w:type="dxa"/>
            <w:vAlign w:val="center"/>
          </w:tcPr>
          <w:p>
            <w:pPr>
              <w:pStyle w:val="0"/>
              <w:jc w:val="center"/>
            </w:pPr>
            <w:r>
              <w:rPr>
                <w:sz w:val="20"/>
              </w:rPr>
              <w:t xml:space="preserve">51035,5</w:t>
            </w:r>
          </w:p>
        </w:tc>
        <w:tc>
          <w:tcPr>
            <w:tcW w:w="1144" w:type="dxa"/>
            <w:vAlign w:val="center"/>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51035,5</w:t>
            </w:r>
          </w:p>
        </w:tc>
      </w:tr>
      <w:tr>
        <w:tc>
          <w:tcPr>
            <w:vMerge w:val="continue"/>
          </w:tcPr>
          <w:p/>
        </w:tc>
        <w:tc>
          <w:tcPr>
            <w:vMerge w:val="continue"/>
          </w:tcPr>
          <w:p/>
        </w:tc>
        <w:tc>
          <w:tcPr>
            <w:tcW w:w="2749" w:type="dxa"/>
            <w:vAlign w:val="center"/>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w:t>
            </w:r>
          </w:p>
        </w:tc>
        <w:tc>
          <w:tcPr>
            <w:tcW w:w="484" w:type="dxa"/>
            <w:vAlign w:val="center"/>
          </w:tcPr>
          <w:p>
            <w:pPr>
              <w:pStyle w:val="0"/>
              <w:jc w:val="center"/>
            </w:pPr>
            <w:r>
              <w:rPr>
                <w:sz w:val="20"/>
              </w:rPr>
              <w:t xml:space="preserve">X</w:t>
            </w:r>
          </w:p>
        </w:tc>
        <w:tc>
          <w:tcPr>
            <w:tcW w:w="1909" w:type="dxa"/>
            <w:vAlign w:val="center"/>
          </w:tcPr>
          <w:p>
            <w:pPr>
              <w:pStyle w:val="0"/>
              <w:jc w:val="center"/>
            </w:pPr>
            <w:r>
              <w:rPr>
                <w:sz w:val="20"/>
              </w:rPr>
              <w:t xml:space="preserve">1583648,3</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586998,6</w:t>
            </w:r>
          </w:p>
        </w:tc>
        <w:tc>
          <w:tcPr>
            <w:tcW w:w="1144" w:type="dxa"/>
            <w:vAlign w:val="center"/>
          </w:tcPr>
          <w:p>
            <w:pPr>
              <w:pStyle w:val="0"/>
              <w:jc w:val="center"/>
            </w:pPr>
            <w:r>
              <w:rPr>
                <w:sz w:val="20"/>
              </w:rPr>
              <w:t xml:space="preserve">553729,5</w:t>
            </w:r>
          </w:p>
        </w:tc>
        <w:tc>
          <w:tcPr>
            <w:tcW w:w="1144" w:type="dxa"/>
            <w:vAlign w:val="center"/>
          </w:tcPr>
          <w:p>
            <w:pPr>
              <w:pStyle w:val="0"/>
              <w:jc w:val="center"/>
            </w:pPr>
            <w:r>
              <w:rPr>
                <w:sz w:val="20"/>
              </w:rPr>
              <w:t xml:space="preserve">442920,2</w:t>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1583648,3</w:t>
            </w:r>
          </w:p>
        </w:tc>
      </w:tr>
      <w:tr>
        <w:tc>
          <w:tcPr>
            <w:tcW w:w="1849" w:type="dxa"/>
            <w:vAlign w:val="center"/>
            <w:vMerge w:val="restart"/>
          </w:tcPr>
          <w:p>
            <w:pPr>
              <w:pStyle w:val="0"/>
              <w:jc w:val="center"/>
            </w:pPr>
            <w:r>
              <w:rPr>
                <w:sz w:val="20"/>
              </w:rPr>
              <w:t xml:space="preserve">Основное мероприятие 7.1</w:t>
            </w:r>
          </w:p>
        </w:tc>
        <w:tc>
          <w:tcPr>
            <w:tcW w:w="2835" w:type="dxa"/>
            <w:vAlign w:val="center"/>
            <w:vMerge w:val="restart"/>
          </w:tcPr>
          <w:p>
            <w:pPr>
              <w:pStyle w:val="0"/>
              <w:jc w:val="center"/>
            </w:pPr>
            <w:r>
              <w:rPr>
                <w:sz w:val="20"/>
              </w:rPr>
              <w:t xml:space="preserve">Создание эффективных механизмов управления в отрасли обращения с твердыми коммунальными отходами</w:t>
            </w:r>
          </w:p>
        </w:tc>
        <w:tc>
          <w:tcPr>
            <w:tcW w:w="2749" w:type="dxa"/>
            <w:vAlign w:val="center"/>
            <w:vMerge w:val="restart"/>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12 7 0171430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54227,2</w:t>
            </w:r>
          </w:p>
        </w:tc>
        <w:tc>
          <w:tcPr>
            <w:tcW w:w="1024" w:type="dxa"/>
            <w:vAlign w:val="center"/>
          </w:tcPr>
          <w:p>
            <w:pPr>
              <w:pStyle w:val="0"/>
              <w:jc w:val="center"/>
            </w:pPr>
            <w:r>
              <w:rPr>
                <w:sz w:val="20"/>
              </w:rPr>
              <w:t xml:space="preserve">3125,8</w:t>
            </w:r>
          </w:p>
        </w:tc>
        <w:tc>
          <w:tcPr>
            <w:tcW w:w="1144" w:type="dxa"/>
            <w:vAlign w:val="center"/>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3125,8</w:t>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12 7 0160310</w:t>
            </w:r>
          </w:p>
        </w:tc>
        <w:tc>
          <w:tcPr>
            <w:tcW w:w="484" w:type="dxa"/>
            <w:vAlign w:val="center"/>
          </w:tcPr>
          <w:p>
            <w:pPr>
              <w:pStyle w:val="0"/>
              <w:jc w:val="center"/>
            </w:pPr>
            <w:r>
              <w:rPr>
                <w:sz w:val="20"/>
              </w:rPr>
              <w:t xml:space="preserve">400</w:t>
            </w:r>
          </w:p>
        </w:tc>
        <w:tc>
          <w:tcPr>
            <w:tcW w:w="1909" w:type="dxa"/>
            <w:vAlign w:val="center"/>
          </w:tcPr>
          <w:p>
            <w:pPr>
              <w:pStyle w:val="0"/>
              <w:jc w:val="center"/>
            </w:pPr>
            <w:r>
              <w:rPr>
                <w:sz w:val="20"/>
              </w:rPr>
            </w:r>
          </w:p>
        </w:tc>
        <w:tc>
          <w:tcPr>
            <w:tcW w:w="1024" w:type="dxa"/>
            <w:vAlign w:val="bottom"/>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tcW w:w="2749" w:type="dxa"/>
            <w:vAlign w:val="center"/>
            <w:vMerge w:val="restart"/>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12 7 0171430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r>
          </w:p>
        </w:tc>
      </w:tr>
      <w:tr>
        <w:tc>
          <w:tcPr>
            <w:vMerge w:val="continue"/>
          </w:tcPr>
          <w:p/>
        </w:tc>
        <w:tc>
          <w:tcPr>
            <w:vMerge w:val="continue"/>
          </w:tcPr>
          <w:p/>
        </w:tc>
        <w:tc>
          <w:tcPr>
            <w:vMerge w:val="continue"/>
          </w:tcP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12 7 0160310</w:t>
            </w:r>
          </w:p>
        </w:tc>
        <w:tc>
          <w:tcPr>
            <w:tcW w:w="484" w:type="dxa"/>
            <w:vAlign w:val="center"/>
          </w:tcPr>
          <w:p>
            <w:pPr>
              <w:pStyle w:val="0"/>
              <w:jc w:val="center"/>
            </w:pPr>
            <w:r>
              <w:rPr>
                <w:sz w:val="20"/>
              </w:rPr>
              <w:t xml:space="preserve">400</w:t>
            </w:r>
          </w:p>
        </w:tc>
        <w:tc>
          <w:tcPr>
            <w:tcW w:w="1909" w:type="dxa"/>
            <w:vAlign w:val="center"/>
          </w:tcPr>
          <w:p>
            <w:pPr>
              <w:pStyle w:val="0"/>
              <w:jc w:val="center"/>
            </w:pPr>
            <w:r>
              <w:rPr>
                <w:sz w:val="20"/>
              </w:rPr>
            </w:r>
          </w:p>
        </w:tc>
        <w:tc>
          <w:tcPr>
            <w:tcW w:w="1024" w:type="dxa"/>
            <w:vAlign w:val="bottom"/>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r>
          </w:p>
        </w:tc>
      </w:tr>
      <w:tr>
        <w:tc>
          <w:tcPr>
            <w:tcW w:w="1849" w:type="dxa"/>
            <w:vAlign w:val="center"/>
          </w:tcPr>
          <w:p>
            <w:pPr>
              <w:pStyle w:val="0"/>
              <w:jc w:val="center"/>
            </w:pPr>
            <w:r>
              <w:rPr>
                <w:sz w:val="20"/>
              </w:rPr>
              <w:t xml:space="preserve">Основное мероприятие 7.2</w:t>
            </w:r>
          </w:p>
        </w:tc>
        <w:tc>
          <w:tcPr>
            <w:tcW w:w="2835" w:type="dxa"/>
            <w:vAlign w:val="center"/>
          </w:tcPr>
          <w:p>
            <w:pPr>
              <w:pStyle w:val="0"/>
              <w:jc w:val="center"/>
            </w:pPr>
            <w:r>
              <w:rPr>
                <w:sz w:val="20"/>
              </w:rPr>
              <w:t xml:space="preserve">Разработка электронной модели территориальной схемы по обращению с отходами</w:t>
            </w:r>
          </w:p>
        </w:tc>
        <w:tc>
          <w:tcPr>
            <w:tcW w:w="2749" w:type="dxa"/>
            <w:vAlign w:val="center"/>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12 7 0229990</w:t>
            </w:r>
          </w:p>
        </w:tc>
        <w:tc>
          <w:tcPr>
            <w:tcW w:w="484" w:type="dxa"/>
            <w:vAlign w:val="center"/>
          </w:tcPr>
          <w:p>
            <w:pPr>
              <w:pStyle w:val="0"/>
              <w:jc w:val="center"/>
            </w:pPr>
            <w:r>
              <w:rPr>
                <w:sz w:val="20"/>
              </w:rPr>
              <w:t xml:space="preserve">200</w:t>
            </w:r>
          </w:p>
        </w:tc>
        <w:tc>
          <w:tcPr>
            <w:tcW w:w="1909" w:type="dxa"/>
            <w:vAlign w:val="center"/>
          </w:tcPr>
          <w:p>
            <w:pPr>
              <w:pStyle w:val="0"/>
              <w:jc w:val="center"/>
            </w:pPr>
            <w:r>
              <w:rPr>
                <w:sz w:val="20"/>
              </w:rPr>
              <w:t xml:space="preserve">16000</w:t>
            </w:r>
          </w:p>
        </w:tc>
        <w:tc>
          <w:tcPr>
            <w:tcW w:w="1024" w:type="dxa"/>
            <w:vAlign w:val="bottom"/>
          </w:tcPr>
          <w:p>
            <w:pPr>
              <w:pStyle w:val="0"/>
              <w:jc w:val="center"/>
            </w:pPr>
            <w:r>
              <w:rPr>
                <w:sz w:val="20"/>
              </w:rPr>
            </w:r>
          </w:p>
        </w:tc>
        <w:tc>
          <w:tcPr>
            <w:tcW w:w="1144" w:type="dxa"/>
            <w:vAlign w:val="bottom"/>
          </w:tcPr>
          <w:p>
            <w:pPr>
              <w:pStyle w:val="0"/>
              <w:jc w:val="center"/>
            </w:pPr>
            <w:r>
              <w:rPr>
                <w:sz w:val="20"/>
              </w:rPr>
            </w:r>
          </w:p>
        </w:tc>
        <w:tc>
          <w:tcPr>
            <w:tcW w:w="1144" w:type="dxa"/>
            <w:vAlign w:val="center"/>
          </w:tcPr>
          <w:p>
            <w:pPr>
              <w:pStyle w:val="0"/>
              <w:jc w:val="center"/>
            </w:pPr>
            <w:r>
              <w:rPr>
                <w:sz w:val="20"/>
              </w:rPr>
              <w:t xml:space="preserve">6000</w:t>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6000</w:t>
            </w:r>
          </w:p>
        </w:tc>
      </w:tr>
      <w:tr>
        <w:tc>
          <w:tcPr>
            <w:tcW w:w="1849" w:type="dxa"/>
            <w:vAlign w:val="center"/>
            <w:vMerge w:val="restart"/>
          </w:tcPr>
          <w:p>
            <w:pPr>
              <w:pStyle w:val="0"/>
              <w:jc w:val="center"/>
            </w:pPr>
            <w:r>
              <w:rPr>
                <w:sz w:val="20"/>
              </w:rPr>
              <w:t xml:space="preserve">Основное мероприятие 7.3</w:t>
            </w:r>
          </w:p>
        </w:tc>
        <w:tc>
          <w:tcPr>
            <w:tcW w:w="2835" w:type="dxa"/>
            <w:vAlign w:val="center"/>
            <w:vMerge w:val="restart"/>
          </w:tcPr>
          <w:p>
            <w:pPr>
              <w:pStyle w:val="0"/>
              <w:jc w:val="center"/>
            </w:pPr>
            <w:r>
              <w:rPr>
                <w:sz w:val="20"/>
              </w:rPr>
              <w:t xml:space="preserve">Субсидии на разработку проектно-сметной документации на рекультивацию объектов накопленного вреда окружающей среде</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12 7 0171410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66515,6</w:t>
            </w:r>
          </w:p>
        </w:tc>
        <w:tc>
          <w:tcPr>
            <w:tcW w:w="1024" w:type="dxa"/>
            <w:vAlign w:val="center"/>
          </w:tcPr>
          <w:p>
            <w:pPr>
              <w:pStyle w:val="0"/>
              <w:jc w:val="center"/>
            </w:pPr>
            <w:r>
              <w:rPr>
                <w:sz w:val="20"/>
              </w:rPr>
              <w:t xml:space="preserve">37967,7</w:t>
            </w:r>
          </w:p>
        </w:tc>
        <w:tc>
          <w:tcPr>
            <w:tcW w:w="1144" w:type="dxa"/>
            <w:vAlign w:val="center"/>
          </w:tcPr>
          <w:p>
            <w:pPr>
              <w:pStyle w:val="0"/>
              <w:jc w:val="center"/>
            </w:pPr>
            <w:r>
              <w:rPr>
                <w:sz w:val="20"/>
              </w:rPr>
            </w:r>
          </w:p>
        </w:tc>
        <w:tc>
          <w:tcPr>
            <w:tcW w:w="1144" w:type="dxa"/>
            <w:vAlign w:val="bottom"/>
          </w:tcPr>
          <w:p>
            <w:pPr>
              <w:pStyle w:val="0"/>
              <w:jc w:val="center"/>
            </w:pPr>
            <w:r>
              <w:rPr>
                <w:sz w:val="20"/>
              </w:rPr>
            </w:r>
          </w:p>
        </w:tc>
        <w:tc>
          <w:tcPr>
            <w:tcW w:w="1144" w:type="dxa"/>
            <w:vAlign w:val="bottom"/>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37967,7</w:t>
            </w:r>
          </w:p>
        </w:tc>
      </w:tr>
      <w:tr>
        <w:tc>
          <w:tcPr>
            <w:vMerge w:val="continue"/>
          </w:tcPr>
          <w:p/>
        </w:tc>
        <w:tc>
          <w:tcPr>
            <w:vMerge w:val="continue"/>
          </w:tcPr>
          <w:p/>
        </w:tc>
        <w:tc>
          <w:tcPr>
            <w:tcW w:w="2749" w:type="dxa"/>
            <w:vAlign w:val="center"/>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12 7 0171410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43900,3</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6413,2</w:t>
            </w:r>
          </w:p>
        </w:tc>
        <w:tc>
          <w:tcPr>
            <w:tcW w:w="1144" w:type="dxa"/>
            <w:vAlign w:val="center"/>
          </w:tcPr>
          <w:p>
            <w:pPr>
              <w:pStyle w:val="0"/>
              <w:jc w:val="center"/>
            </w:pPr>
            <w:r>
              <w:rPr>
                <w:sz w:val="20"/>
              </w:rPr>
              <w:t xml:space="preserve">37487,1</w:t>
            </w:r>
          </w:p>
        </w:tc>
        <w:tc>
          <w:tcPr>
            <w:tcW w:w="1144" w:type="dxa"/>
            <w:vAlign w:val="center"/>
          </w:tcPr>
          <w:p>
            <w:pPr>
              <w:pStyle w:val="0"/>
              <w:jc w:val="center"/>
            </w:pPr>
            <w:r>
              <w:rPr>
                <w:sz w:val="20"/>
              </w:rPr>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43900,3</w:t>
            </w:r>
          </w:p>
        </w:tc>
      </w:tr>
      <w:tr>
        <w:tc>
          <w:tcPr>
            <w:tcW w:w="1849" w:type="dxa"/>
            <w:vAlign w:val="center"/>
          </w:tcPr>
          <w:p>
            <w:pPr>
              <w:pStyle w:val="0"/>
              <w:jc w:val="center"/>
            </w:pPr>
            <w:r>
              <w:rPr>
                <w:sz w:val="20"/>
              </w:rPr>
              <w:t xml:space="preserve">Проект 7.G1</w:t>
            </w:r>
          </w:p>
        </w:tc>
        <w:tc>
          <w:tcPr>
            <w:tcW w:w="2835" w:type="dxa"/>
            <w:vAlign w:val="center"/>
          </w:tcPr>
          <w:p>
            <w:pPr>
              <w:pStyle w:val="0"/>
              <w:jc w:val="center"/>
            </w:pPr>
            <w:r>
              <w:rPr>
                <w:sz w:val="20"/>
              </w:rPr>
              <w:t xml:space="preserve">Чистая страна</w:t>
            </w:r>
          </w:p>
        </w:tc>
        <w:tc>
          <w:tcPr>
            <w:tcW w:w="2749" w:type="dxa"/>
            <w:vAlign w:val="center"/>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G152420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1509038,6</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555876</w:t>
            </w:r>
          </w:p>
        </w:tc>
        <w:tc>
          <w:tcPr>
            <w:tcW w:w="1144" w:type="dxa"/>
            <w:vAlign w:val="center"/>
          </w:tcPr>
          <w:p>
            <w:pPr>
              <w:pStyle w:val="0"/>
              <w:jc w:val="center"/>
            </w:pPr>
            <w:r>
              <w:rPr>
                <w:sz w:val="20"/>
              </w:rPr>
              <w:t xml:space="preserve">510242,4</w:t>
            </w:r>
          </w:p>
        </w:tc>
        <w:tc>
          <w:tcPr>
            <w:tcW w:w="1144" w:type="dxa"/>
            <w:vAlign w:val="center"/>
          </w:tcPr>
          <w:p>
            <w:pPr>
              <w:pStyle w:val="0"/>
              <w:jc w:val="center"/>
            </w:pPr>
            <w:r>
              <w:rPr>
                <w:sz w:val="20"/>
              </w:rPr>
              <w:t xml:space="preserve">442920,2</w:t>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1509038,6</w:t>
            </w:r>
          </w:p>
        </w:tc>
      </w:tr>
      <w:tr>
        <w:tc>
          <w:tcPr>
            <w:tcW w:w="1849" w:type="dxa"/>
            <w:vAlign w:val="center"/>
            <w:vMerge w:val="restart"/>
          </w:tcPr>
          <w:p>
            <w:pPr>
              <w:pStyle w:val="0"/>
              <w:jc w:val="center"/>
            </w:pPr>
            <w:r>
              <w:rPr>
                <w:sz w:val="20"/>
              </w:rPr>
              <w:t xml:space="preserve">Проект 7.G2</w:t>
            </w:r>
          </w:p>
        </w:tc>
        <w:tc>
          <w:tcPr>
            <w:tcW w:w="2835" w:type="dxa"/>
            <w:vAlign w:val="center"/>
            <w:vMerge w:val="restart"/>
          </w:tcPr>
          <w:p>
            <w:pPr>
              <w:pStyle w:val="0"/>
              <w:jc w:val="center"/>
            </w:pPr>
            <w:r>
              <w:rPr>
                <w:sz w:val="20"/>
              </w:rPr>
              <w:t xml:space="preserve">Комплексная система обращения с твердыми коммунальными отходами</w:t>
            </w:r>
          </w:p>
        </w:tc>
        <w:tc>
          <w:tcPr>
            <w:tcW w:w="2749" w:type="dxa"/>
            <w:vAlign w:val="center"/>
          </w:tcPr>
          <w:p>
            <w:pPr>
              <w:pStyle w:val="0"/>
              <w:jc w:val="center"/>
            </w:pPr>
            <w:r>
              <w:rPr>
                <w:sz w:val="20"/>
              </w:rPr>
              <w:t xml:space="preserve">Департамент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G252690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125642,8</w:t>
            </w:r>
          </w:p>
        </w:tc>
        <w:tc>
          <w:tcPr>
            <w:tcW w:w="1024" w:type="dxa"/>
            <w:vAlign w:val="center"/>
          </w:tcPr>
          <w:p>
            <w:pPr>
              <w:pStyle w:val="0"/>
              <w:jc w:val="center"/>
            </w:pPr>
            <w:r>
              <w:rPr>
                <w:sz w:val="20"/>
              </w:rPr>
              <w:t xml:space="preserve">9942</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9942</w:t>
            </w:r>
          </w:p>
        </w:tc>
      </w:tr>
      <w:tr>
        <w:tc>
          <w:tcPr>
            <w:vMerge w:val="continue"/>
          </w:tcPr>
          <w:p/>
        </w:tc>
        <w:tc>
          <w:tcPr>
            <w:vMerge w:val="continue"/>
          </w:tcPr>
          <w:p/>
        </w:tc>
        <w:tc>
          <w:tcPr>
            <w:tcW w:w="2749" w:type="dxa"/>
            <w:vAlign w:val="center"/>
          </w:tcPr>
          <w:p>
            <w:pPr>
              <w:pStyle w:val="0"/>
              <w:jc w:val="center"/>
            </w:pPr>
            <w:r>
              <w:rPr>
                <w:sz w:val="20"/>
              </w:rPr>
              <w:t xml:space="preserve">Министерство жилищно-коммунального хозяйства Белгородской области</w:t>
            </w:r>
          </w:p>
        </w:tc>
        <w:tc>
          <w:tcPr>
            <w:tcW w:w="694" w:type="dxa"/>
            <w:vAlign w:val="center"/>
          </w:tcPr>
          <w:p>
            <w:pPr>
              <w:pStyle w:val="0"/>
              <w:jc w:val="center"/>
            </w:pPr>
            <w:r>
              <w:rPr>
                <w:sz w:val="20"/>
              </w:rPr>
              <w:t xml:space="preserve">830</w:t>
            </w:r>
          </w:p>
        </w:tc>
        <w:tc>
          <w:tcPr>
            <w:tcW w:w="604" w:type="dxa"/>
            <w:vAlign w:val="center"/>
          </w:tcPr>
          <w:p>
            <w:pPr>
              <w:pStyle w:val="0"/>
              <w:jc w:val="center"/>
            </w:pPr>
            <w:r>
              <w:rPr>
                <w:sz w:val="20"/>
              </w:rPr>
              <w:t xml:space="preserve">0605</w:t>
            </w:r>
          </w:p>
        </w:tc>
        <w:tc>
          <w:tcPr>
            <w:tcW w:w="1587" w:type="dxa"/>
            <w:vAlign w:val="center"/>
          </w:tcPr>
          <w:p>
            <w:pPr>
              <w:pStyle w:val="0"/>
              <w:jc w:val="center"/>
            </w:pPr>
            <w:r>
              <w:rPr>
                <w:sz w:val="20"/>
              </w:rPr>
              <w:t xml:space="preserve">12 7 G252690</w:t>
            </w:r>
          </w:p>
        </w:tc>
        <w:tc>
          <w:tcPr>
            <w:tcW w:w="484" w:type="dxa"/>
            <w:vAlign w:val="center"/>
          </w:tcPr>
          <w:p>
            <w:pPr>
              <w:pStyle w:val="0"/>
              <w:jc w:val="center"/>
            </w:pPr>
            <w:r>
              <w:rPr>
                <w:sz w:val="20"/>
              </w:rPr>
              <w:t xml:space="preserve">500</w:t>
            </w:r>
          </w:p>
        </w:tc>
        <w:tc>
          <w:tcPr>
            <w:tcW w:w="1909" w:type="dxa"/>
            <w:vAlign w:val="center"/>
          </w:tcPr>
          <w:p>
            <w:pPr>
              <w:pStyle w:val="0"/>
              <w:jc w:val="center"/>
            </w:pPr>
            <w:r>
              <w:rPr>
                <w:sz w:val="20"/>
              </w:rPr>
              <w:t xml:space="preserve">24709,4</w:t>
            </w:r>
          </w:p>
        </w:tc>
        <w:tc>
          <w:tcPr>
            <w:tcW w:w="1024" w:type="dxa"/>
            <w:vAlign w:val="center"/>
          </w:tcPr>
          <w:p>
            <w:pPr>
              <w:pStyle w:val="0"/>
              <w:jc w:val="center"/>
            </w:pPr>
            <w:r>
              <w:rPr>
                <w:sz w:val="20"/>
              </w:rPr>
            </w:r>
          </w:p>
        </w:tc>
        <w:tc>
          <w:tcPr>
            <w:tcW w:w="1144" w:type="dxa"/>
            <w:vAlign w:val="center"/>
          </w:tcPr>
          <w:p>
            <w:pPr>
              <w:pStyle w:val="0"/>
              <w:jc w:val="center"/>
            </w:pPr>
            <w:r>
              <w:rPr>
                <w:sz w:val="20"/>
              </w:rPr>
              <w:t xml:space="preserve">24709,4</w:t>
            </w:r>
          </w:p>
        </w:tc>
        <w:tc>
          <w:tcPr>
            <w:tcW w:w="1144" w:type="dxa"/>
            <w:vAlign w:val="center"/>
          </w:tcPr>
          <w:p>
            <w:pPr>
              <w:pStyle w:val="0"/>
              <w:jc w:val="center"/>
            </w:pPr>
            <w:r>
              <w:rPr>
                <w:sz w:val="20"/>
              </w:rPr>
            </w:r>
          </w:p>
        </w:tc>
        <w:tc>
          <w:tcPr>
            <w:tcW w:w="1144" w:type="dxa"/>
            <w:vAlign w:val="center"/>
          </w:tcPr>
          <w:p>
            <w:pPr>
              <w:pStyle w:val="0"/>
              <w:jc w:val="center"/>
            </w:pPr>
            <w:r>
              <w:rPr>
                <w:sz w:val="20"/>
              </w:rPr>
            </w:r>
          </w:p>
        </w:tc>
        <w:tc>
          <w:tcPr>
            <w:tcW w:w="1024" w:type="dxa"/>
            <w:vAlign w:val="bottom"/>
          </w:tcPr>
          <w:p>
            <w:pPr>
              <w:pStyle w:val="0"/>
              <w:jc w:val="center"/>
            </w:pPr>
            <w:r>
              <w:rPr>
                <w:sz w:val="20"/>
              </w:rPr>
            </w:r>
          </w:p>
        </w:tc>
        <w:tc>
          <w:tcPr>
            <w:tcW w:w="1144" w:type="dxa"/>
            <w:vAlign w:val="center"/>
          </w:tcPr>
          <w:p>
            <w:pPr>
              <w:pStyle w:val="0"/>
              <w:jc w:val="center"/>
            </w:pPr>
            <w:r>
              <w:rPr>
                <w:sz w:val="20"/>
              </w:rPr>
              <w:t xml:space="preserve">24709,4</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5</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pPr>
      <w:r>
        <w:rPr>
          <w:sz w:val="20"/>
        </w:rPr>
      </w:r>
    </w:p>
    <w:p>
      <w:pPr>
        <w:pStyle w:val="2"/>
        <w:jc w:val="center"/>
      </w:pPr>
      <w:r>
        <w:rPr>
          <w:sz w:val="20"/>
        </w:rPr>
        <w:t xml:space="preserve">Прогноз</w:t>
      </w:r>
    </w:p>
    <w:p>
      <w:pPr>
        <w:pStyle w:val="2"/>
        <w:jc w:val="center"/>
      </w:pPr>
      <w:r>
        <w:rPr>
          <w:sz w:val="20"/>
        </w:rPr>
        <w:t xml:space="preserve">сводных показателей государственных заданий на оказание</w:t>
      </w:r>
    </w:p>
    <w:p>
      <w:pPr>
        <w:pStyle w:val="2"/>
        <w:jc w:val="center"/>
      </w:pPr>
      <w:r>
        <w:rPr>
          <w:sz w:val="20"/>
        </w:rPr>
        <w:t xml:space="preserve">государственных услуг (работ) государственными</w:t>
      </w:r>
    </w:p>
    <w:p>
      <w:pPr>
        <w:pStyle w:val="2"/>
        <w:jc w:val="center"/>
      </w:pPr>
      <w:r>
        <w:rPr>
          <w:sz w:val="20"/>
        </w:rPr>
        <w:t xml:space="preserve">учреждениями по государственной программе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1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17.01.2022 N 20-пп)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844"/>
        <w:gridCol w:w="844"/>
        <w:gridCol w:w="844"/>
        <w:gridCol w:w="724"/>
        <w:gridCol w:w="724"/>
        <w:gridCol w:w="724"/>
      </w:tblGrid>
      <w:tr>
        <w:tc>
          <w:tcPr>
            <w:tcW w:w="4365" w:type="dxa"/>
            <w:vMerge w:val="restart"/>
          </w:tcPr>
          <w:p>
            <w:pPr>
              <w:pStyle w:val="0"/>
              <w:jc w:val="center"/>
            </w:pPr>
            <w:r>
              <w:rPr>
                <w:sz w:val="20"/>
              </w:rPr>
              <w:t xml:space="preserve">Наименование услуги, показатели объема услуги, подпрограммы, основные мероприятия</w:t>
            </w:r>
          </w:p>
        </w:tc>
        <w:tc>
          <w:tcPr>
            <w:gridSpan w:val="3"/>
            <w:tcW w:w="2532" w:type="dxa"/>
          </w:tcPr>
          <w:p>
            <w:pPr>
              <w:pStyle w:val="0"/>
              <w:jc w:val="center"/>
            </w:pPr>
            <w:r>
              <w:rPr>
                <w:sz w:val="20"/>
              </w:rPr>
              <w:t xml:space="preserve">Значение показателя объема услуги, м</w:t>
            </w:r>
            <w:r>
              <w:rPr>
                <w:sz w:val="20"/>
                <w:vertAlign w:val="superscript"/>
              </w:rPr>
              <w:t xml:space="preserve">3</w:t>
            </w:r>
          </w:p>
        </w:tc>
        <w:tc>
          <w:tcPr>
            <w:gridSpan w:val="3"/>
            <w:tcW w:w="2172" w:type="dxa"/>
          </w:tcPr>
          <w:p>
            <w:pPr>
              <w:pStyle w:val="0"/>
              <w:jc w:val="center"/>
            </w:pPr>
            <w:r>
              <w:rPr>
                <w:sz w:val="20"/>
              </w:rPr>
              <w:t xml:space="preserve">Расходы областного бюджета на оказание государственной услуги, тыс. рублей</w:t>
            </w:r>
          </w:p>
        </w:tc>
      </w:tr>
      <w:tr>
        <w:tc>
          <w:tcPr>
            <w:vMerge w:val="continue"/>
          </w:tcPr>
          <w:p/>
        </w:tc>
        <w:tc>
          <w:tcPr>
            <w:tcW w:w="844" w:type="dxa"/>
          </w:tcPr>
          <w:p>
            <w:pPr>
              <w:pStyle w:val="0"/>
              <w:jc w:val="center"/>
            </w:pPr>
            <w:r>
              <w:rPr>
                <w:sz w:val="20"/>
              </w:rPr>
              <w:t xml:space="preserve">2022 год</w:t>
            </w:r>
          </w:p>
        </w:tc>
        <w:tc>
          <w:tcPr>
            <w:tcW w:w="844" w:type="dxa"/>
          </w:tcPr>
          <w:p>
            <w:pPr>
              <w:pStyle w:val="0"/>
              <w:jc w:val="center"/>
            </w:pPr>
            <w:r>
              <w:rPr>
                <w:sz w:val="20"/>
              </w:rPr>
              <w:t xml:space="preserve">2023 год</w:t>
            </w:r>
          </w:p>
        </w:tc>
        <w:tc>
          <w:tcPr>
            <w:tcW w:w="844" w:type="dxa"/>
          </w:tcPr>
          <w:p>
            <w:pPr>
              <w:pStyle w:val="0"/>
              <w:jc w:val="center"/>
            </w:pPr>
            <w:r>
              <w:rPr>
                <w:sz w:val="20"/>
              </w:rPr>
              <w:t xml:space="preserve">2024 год</w:t>
            </w:r>
          </w:p>
        </w:tc>
        <w:tc>
          <w:tcPr>
            <w:tcW w:w="724" w:type="dxa"/>
          </w:tcPr>
          <w:p>
            <w:pPr>
              <w:pStyle w:val="0"/>
              <w:jc w:val="center"/>
            </w:pPr>
            <w:r>
              <w:rPr>
                <w:sz w:val="20"/>
              </w:rPr>
              <w:t xml:space="preserve">2022 год</w:t>
            </w:r>
          </w:p>
        </w:tc>
        <w:tc>
          <w:tcPr>
            <w:tcW w:w="724" w:type="dxa"/>
          </w:tcPr>
          <w:p>
            <w:pPr>
              <w:pStyle w:val="0"/>
              <w:jc w:val="center"/>
            </w:pPr>
            <w:r>
              <w:rPr>
                <w:sz w:val="20"/>
              </w:rPr>
              <w:t xml:space="preserve">2023 год</w:t>
            </w:r>
          </w:p>
        </w:tc>
        <w:tc>
          <w:tcPr>
            <w:tcW w:w="724" w:type="dxa"/>
          </w:tcPr>
          <w:p>
            <w:pPr>
              <w:pStyle w:val="0"/>
              <w:jc w:val="center"/>
            </w:pPr>
            <w:r>
              <w:rPr>
                <w:sz w:val="20"/>
              </w:rPr>
              <w:t xml:space="preserve">2024 год</w:t>
            </w:r>
          </w:p>
        </w:tc>
      </w:tr>
      <w:tr>
        <w:tc>
          <w:tcPr>
            <w:tcW w:w="4365" w:type="dxa"/>
          </w:tcPr>
          <w:p>
            <w:pPr>
              <w:pStyle w:val="0"/>
              <w:jc w:val="center"/>
            </w:pPr>
            <w:r>
              <w:rPr>
                <w:sz w:val="20"/>
              </w:rPr>
              <w:t xml:space="preserve">1</w:t>
            </w:r>
          </w:p>
        </w:tc>
        <w:tc>
          <w:tcPr>
            <w:tcW w:w="844" w:type="dxa"/>
          </w:tcPr>
          <w:p>
            <w:pPr>
              <w:pStyle w:val="0"/>
              <w:jc w:val="center"/>
            </w:pPr>
            <w:r>
              <w:rPr>
                <w:sz w:val="20"/>
              </w:rPr>
              <w:t xml:space="preserve">2</w:t>
            </w:r>
          </w:p>
        </w:tc>
        <w:tc>
          <w:tcPr>
            <w:tcW w:w="844" w:type="dxa"/>
          </w:tcPr>
          <w:p>
            <w:pPr>
              <w:pStyle w:val="0"/>
              <w:jc w:val="center"/>
            </w:pPr>
            <w:r>
              <w:rPr>
                <w:sz w:val="20"/>
              </w:rPr>
              <w:t xml:space="preserve">3</w:t>
            </w:r>
          </w:p>
        </w:tc>
        <w:tc>
          <w:tcPr>
            <w:tcW w:w="844" w:type="dxa"/>
          </w:tcPr>
          <w:p>
            <w:pPr>
              <w:pStyle w:val="0"/>
              <w:jc w:val="center"/>
            </w:pPr>
            <w:r>
              <w:rPr>
                <w:sz w:val="20"/>
              </w:rPr>
              <w:t xml:space="preserve">4</w:t>
            </w:r>
          </w:p>
        </w:tc>
        <w:tc>
          <w:tcPr>
            <w:tcW w:w="724" w:type="dxa"/>
          </w:tcPr>
          <w:p>
            <w:pPr>
              <w:pStyle w:val="0"/>
              <w:jc w:val="center"/>
            </w:pPr>
            <w:r>
              <w:rPr>
                <w:sz w:val="20"/>
              </w:rPr>
              <w:t xml:space="preserve">5</w:t>
            </w:r>
          </w:p>
        </w:tc>
        <w:tc>
          <w:tcPr>
            <w:tcW w:w="724" w:type="dxa"/>
          </w:tcPr>
          <w:p>
            <w:pPr>
              <w:pStyle w:val="0"/>
              <w:jc w:val="center"/>
            </w:pPr>
            <w:r>
              <w:rPr>
                <w:sz w:val="20"/>
              </w:rPr>
              <w:t xml:space="preserve">6</w:t>
            </w:r>
          </w:p>
        </w:tc>
        <w:tc>
          <w:tcPr>
            <w:tcW w:w="724" w:type="dxa"/>
          </w:tcPr>
          <w:p>
            <w:pPr>
              <w:pStyle w:val="0"/>
              <w:jc w:val="center"/>
            </w:pPr>
            <w:r>
              <w:rPr>
                <w:sz w:val="20"/>
              </w:rPr>
              <w:t xml:space="preserve">7</w:t>
            </w:r>
          </w:p>
        </w:tc>
      </w:tr>
      <w:tr>
        <w:tc>
          <w:tcPr>
            <w:tcW w:w="4365" w:type="dxa"/>
          </w:tcPr>
          <w:p>
            <w:pPr>
              <w:pStyle w:val="0"/>
            </w:pPr>
            <w:r>
              <w:rPr>
                <w:sz w:val="20"/>
              </w:rPr>
              <w:t xml:space="preserve">Наименование услуги (работы)</w:t>
            </w:r>
          </w:p>
        </w:tc>
        <w:tc>
          <w:tcPr>
            <w:gridSpan w:val="6"/>
            <w:tcW w:w="4704" w:type="dxa"/>
          </w:tcPr>
          <w:p>
            <w:pPr>
              <w:pStyle w:val="0"/>
              <w:jc w:val="center"/>
            </w:pPr>
            <w:r>
              <w:rPr>
                <w:sz w:val="20"/>
              </w:rPr>
              <w:t xml:space="preserve">Предупреждение чрезвычайных ситуаций межмуниципального и регионального характера</w:t>
            </w:r>
          </w:p>
        </w:tc>
      </w:tr>
      <w:tr>
        <w:tc>
          <w:tcPr>
            <w:gridSpan w:val="7"/>
            <w:tcW w:w="9069" w:type="dxa"/>
          </w:tcPr>
          <w:p>
            <w:pPr>
              <w:pStyle w:val="0"/>
              <w:outlineLvl w:val="2"/>
            </w:pPr>
            <w:r>
              <w:rPr>
                <w:sz w:val="20"/>
              </w:rPr>
              <w:t xml:space="preserve">Подпрограмма 2 "Развитие водохозяйственного комплекса"</w:t>
            </w:r>
          </w:p>
        </w:tc>
      </w:tr>
      <w:tr>
        <w:tc>
          <w:tcPr>
            <w:gridSpan w:val="7"/>
            <w:tcW w:w="9069" w:type="dxa"/>
          </w:tcPr>
          <w:p>
            <w:pPr>
              <w:pStyle w:val="0"/>
            </w:pPr>
            <w:r>
              <w:rPr>
                <w:sz w:val="20"/>
              </w:rPr>
              <w:t xml:space="preserve">Основное мероприятие 2.3 "Проведение мероприятий по предупреждению чрезвычайных ситуаций межмуниципального и регионального характера"</w:t>
            </w:r>
          </w:p>
        </w:tc>
      </w:tr>
      <w:tr>
        <w:tc>
          <w:tcPr>
            <w:tcW w:w="4365" w:type="dxa"/>
          </w:tcPr>
          <w:p>
            <w:pPr>
              <w:pStyle w:val="0"/>
            </w:pPr>
            <w:r>
              <w:rPr>
                <w:sz w:val="20"/>
              </w:rPr>
              <w:t xml:space="preserve">Показатель объема услуги</w:t>
            </w:r>
          </w:p>
        </w:tc>
        <w:tc>
          <w:tcPr>
            <w:gridSpan w:val="6"/>
            <w:tcW w:w="4704" w:type="dxa"/>
          </w:tcPr>
          <w:p>
            <w:pPr>
              <w:pStyle w:val="0"/>
              <w:jc w:val="center"/>
            </w:pPr>
            <w:r>
              <w:rPr>
                <w:sz w:val="20"/>
              </w:rPr>
              <w:t xml:space="preserve">Доля выполненных работ от объема, предусмотренного государственным заданием на соответствующий финансовый год</w:t>
            </w:r>
          </w:p>
        </w:tc>
      </w:tr>
      <w:tr>
        <w:tc>
          <w:tcPr>
            <w:tcW w:w="4365" w:type="dxa"/>
          </w:tcPr>
          <w:p>
            <w:pPr>
              <w:pStyle w:val="0"/>
            </w:pPr>
            <w:r>
              <w:rPr>
                <w:sz w:val="20"/>
              </w:rPr>
              <w:t xml:space="preserve">Объем донных отложений, изъятый для усиления проточности водных объектов, увеличения вмещающей емкости водных объектов</w:t>
            </w:r>
          </w:p>
        </w:tc>
        <w:tc>
          <w:tcPr>
            <w:tcW w:w="844" w:type="dxa"/>
          </w:tcPr>
          <w:p>
            <w:pPr>
              <w:pStyle w:val="0"/>
              <w:jc w:val="center"/>
            </w:pPr>
            <w:r>
              <w:rPr>
                <w:sz w:val="20"/>
              </w:rPr>
              <w:t xml:space="preserve">120000</w:t>
            </w:r>
          </w:p>
        </w:tc>
        <w:tc>
          <w:tcPr>
            <w:tcW w:w="844" w:type="dxa"/>
          </w:tcPr>
          <w:p>
            <w:pPr>
              <w:pStyle w:val="0"/>
              <w:jc w:val="center"/>
            </w:pPr>
            <w:r>
              <w:rPr>
                <w:sz w:val="20"/>
              </w:rPr>
              <w:t xml:space="preserve">120000</w:t>
            </w:r>
          </w:p>
        </w:tc>
        <w:tc>
          <w:tcPr>
            <w:tcW w:w="844" w:type="dxa"/>
          </w:tcPr>
          <w:p>
            <w:pPr>
              <w:pStyle w:val="0"/>
              <w:jc w:val="center"/>
            </w:pPr>
            <w:r>
              <w:rPr>
                <w:sz w:val="20"/>
              </w:rPr>
              <w:t xml:space="preserve">120000</w:t>
            </w:r>
          </w:p>
        </w:tc>
        <w:tc>
          <w:tcPr>
            <w:tcW w:w="724" w:type="dxa"/>
          </w:tcPr>
          <w:p>
            <w:pPr>
              <w:pStyle w:val="0"/>
              <w:jc w:val="center"/>
            </w:pPr>
            <w:r>
              <w:rPr>
                <w:sz w:val="20"/>
              </w:rPr>
              <w:t xml:space="preserve">36000</w:t>
            </w:r>
          </w:p>
        </w:tc>
        <w:tc>
          <w:tcPr>
            <w:tcW w:w="724" w:type="dxa"/>
          </w:tcPr>
          <w:p>
            <w:pPr>
              <w:pStyle w:val="0"/>
              <w:jc w:val="center"/>
            </w:pPr>
            <w:r>
              <w:rPr>
                <w:sz w:val="20"/>
              </w:rPr>
              <w:t xml:space="preserve">36000</w:t>
            </w:r>
          </w:p>
        </w:tc>
        <w:tc>
          <w:tcPr>
            <w:tcW w:w="724" w:type="dxa"/>
          </w:tcPr>
          <w:p>
            <w:pPr>
              <w:pStyle w:val="0"/>
              <w:jc w:val="center"/>
            </w:pPr>
            <w:r>
              <w:rPr>
                <w:sz w:val="20"/>
              </w:rPr>
              <w:t xml:space="preserve">36000</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N 6</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p>
      <w:pPr>
        <w:pStyle w:val="2"/>
        <w:jc w:val="center"/>
      </w:pPr>
      <w:r>
        <w:rPr>
          <w:sz w:val="20"/>
        </w:rPr>
        <w:t xml:space="preserve">Сведения</w:t>
      </w:r>
    </w:p>
    <w:p>
      <w:pPr>
        <w:pStyle w:val="2"/>
        <w:jc w:val="center"/>
      </w:pPr>
      <w:r>
        <w:rPr>
          <w:sz w:val="20"/>
        </w:rPr>
        <w:t xml:space="preserve">о методике расчета показателей конечного результата</w:t>
      </w:r>
    </w:p>
    <w:p>
      <w:pPr>
        <w:pStyle w:val="2"/>
        <w:jc w:val="center"/>
      </w:pPr>
      <w:r>
        <w:rPr>
          <w:sz w:val="20"/>
        </w:rPr>
        <w:t xml:space="preserve">государственной программы Белгородской области "Развитие</w:t>
      </w:r>
    </w:p>
    <w:p>
      <w:pPr>
        <w:pStyle w:val="2"/>
        <w:jc w:val="center"/>
      </w:pPr>
      <w:r>
        <w:rPr>
          <w:sz w:val="20"/>
        </w:rPr>
        <w:t xml:space="preserve">водного и лесного хозяйства Белгородской области,</w:t>
      </w:r>
    </w:p>
    <w:p>
      <w:pPr>
        <w:pStyle w:val="2"/>
        <w:jc w:val="center"/>
      </w:pPr>
      <w:r>
        <w:rPr>
          <w:sz w:val="20"/>
        </w:rPr>
        <w:t xml:space="preserve">охрана окружающей среды"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15"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06.02.2023 N 44-пп)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2134"/>
        <w:gridCol w:w="1249"/>
        <w:gridCol w:w="3742"/>
        <w:gridCol w:w="1984"/>
        <w:gridCol w:w="1714"/>
      </w:tblGrid>
      <w:tr>
        <w:tc>
          <w:tcPr>
            <w:tcW w:w="567" w:type="dxa"/>
          </w:tcPr>
          <w:p>
            <w:pPr>
              <w:pStyle w:val="0"/>
              <w:jc w:val="center"/>
            </w:pPr>
            <w:r>
              <w:rPr>
                <w:sz w:val="20"/>
              </w:rPr>
              <w:t xml:space="preserve">N</w:t>
            </w:r>
          </w:p>
        </w:tc>
        <w:tc>
          <w:tcPr>
            <w:tcW w:w="2134" w:type="dxa"/>
          </w:tcPr>
          <w:p>
            <w:pPr>
              <w:pStyle w:val="0"/>
              <w:jc w:val="center"/>
            </w:pPr>
            <w:r>
              <w:rPr>
                <w:sz w:val="20"/>
              </w:rPr>
              <w:t xml:space="preserve">Наименование показателя конечного результата</w:t>
            </w:r>
          </w:p>
        </w:tc>
        <w:tc>
          <w:tcPr>
            <w:tcW w:w="1249" w:type="dxa"/>
          </w:tcPr>
          <w:p>
            <w:pPr>
              <w:pStyle w:val="0"/>
              <w:jc w:val="center"/>
            </w:pPr>
            <w:r>
              <w:rPr>
                <w:sz w:val="20"/>
              </w:rPr>
              <w:t xml:space="preserve">Единица измерения</w:t>
            </w:r>
          </w:p>
        </w:tc>
        <w:tc>
          <w:tcPr>
            <w:tcW w:w="3742" w:type="dxa"/>
          </w:tcPr>
          <w:p>
            <w:pPr>
              <w:pStyle w:val="0"/>
              <w:jc w:val="center"/>
            </w:pPr>
            <w:r>
              <w:rPr>
                <w:sz w:val="20"/>
              </w:rPr>
              <w:t xml:space="preserve">Алгоритм формирования (формула) и методологические пояснения к показателю</w:t>
            </w:r>
          </w:p>
        </w:tc>
        <w:tc>
          <w:tcPr>
            <w:tcW w:w="1984" w:type="dxa"/>
          </w:tcPr>
          <w:p>
            <w:pPr>
              <w:pStyle w:val="0"/>
              <w:jc w:val="center"/>
            </w:pPr>
            <w:r>
              <w:rPr>
                <w:sz w:val="20"/>
              </w:rPr>
              <w:t xml:space="preserve">Метод сбора информации</w:t>
            </w:r>
          </w:p>
        </w:tc>
        <w:tc>
          <w:tcPr>
            <w:tcW w:w="1714" w:type="dxa"/>
          </w:tcPr>
          <w:p>
            <w:pPr>
              <w:pStyle w:val="0"/>
              <w:jc w:val="center"/>
            </w:pPr>
            <w:r>
              <w:rPr>
                <w:sz w:val="20"/>
              </w:rPr>
              <w:t xml:space="preserve">Временные характеристики показателя</w:t>
            </w:r>
          </w:p>
        </w:tc>
      </w:tr>
      <w:tr>
        <w:tc>
          <w:tcPr>
            <w:gridSpan w:val="6"/>
            <w:tcW w:w="11390" w:type="dxa"/>
            <w:vAlign w:val="center"/>
          </w:tcPr>
          <w:p>
            <w:pPr>
              <w:pStyle w:val="0"/>
              <w:outlineLvl w:val="2"/>
              <w:jc w:val="center"/>
            </w:pPr>
            <w:r>
              <w:rPr>
                <w:sz w:val="20"/>
              </w:rPr>
              <w:t xml:space="preserve">Государственная программа Белгородской области "Развитие водного и лесного хозяйства Белгородской области, охрана окружающей среды"</w:t>
            </w:r>
          </w:p>
        </w:tc>
      </w:tr>
      <w:tr>
        <w:tc>
          <w:tcPr>
            <w:tcW w:w="567" w:type="dxa"/>
            <w:vAlign w:val="center"/>
          </w:tcPr>
          <w:p>
            <w:pPr>
              <w:pStyle w:val="0"/>
              <w:jc w:val="center"/>
            </w:pPr>
            <w:r>
              <w:rPr>
                <w:sz w:val="20"/>
              </w:rPr>
              <w:t xml:space="preserve">1</w:t>
            </w:r>
          </w:p>
        </w:tc>
        <w:tc>
          <w:tcPr>
            <w:tcW w:w="2134" w:type="dxa"/>
            <w:vAlign w:val="center"/>
          </w:tcPr>
          <w:p>
            <w:pPr>
              <w:pStyle w:val="0"/>
              <w:jc w:val="center"/>
            </w:pPr>
            <w:r>
              <w:rPr>
                <w:sz w:val="20"/>
              </w:rPr>
              <w:t xml:space="preserve">Удельный вес выбросов загрязняющих веществ в атмосферный воздух от стационарных источников</w:t>
            </w:r>
          </w:p>
        </w:tc>
        <w:tc>
          <w:tcPr>
            <w:tcW w:w="1249" w:type="dxa"/>
            <w:vAlign w:val="center"/>
          </w:tcPr>
          <w:p>
            <w:pPr>
              <w:pStyle w:val="0"/>
              <w:jc w:val="center"/>
            </w:pPr>
            <w:r>
              <w:rPr>
                <w:sz w:val="20"/>
              </w:rPr>
              <w:t xml:space="preserve">Тонн/млн руб. ВРП</w:t>
            </w:r>
          </w:p>
        </w:tc>
        <w:tc>
          <w:tcPr>
            <w:tcW w:w="3742" w:type="dxa"/>
            <w:vAlign w:val="center"/>
          </w:tcPr>
          <w:p>
            <w:pPr>
              <w:pStyle w:val="0"/>
              <w:jc w:val="center"/>
            </w:pPr>
            <w:r>
              <w:rPr>
                <w:sz w:val="20"/>
              </w:rPr>
              <w:t xml:space="preserve">Удельный вес = a / b, где:</w:t>
            </w:r>
          </w:p>
          <w:p>
            <w:pPr>
              <w:pStyle w:val="0"/>
              <w:jc w:val="center"/>
            </w:pPr>
            <w:r>
              <w:rPr>
                <w:sz w:val="20"/>
              </w:rPr>
              <w:t xml:space="preserve">удельный вес - удельный вес выбросов загрязняющих веществ в атмосферный воздух от стационарных источников;</w:t>
            </w:r>
          </w:p>
          <w:p>
            <w:pPr>
              <w:pStyle w:val="0"/>
              <w:jc w:val="center"/>
            </w:pPr>
            <w:r>
              <w:rPr>
                <w:sz w:val="20"/>
              </w:rPr>
              <w:t xml:space="preserve">a - выбросов загрязняющих веществ в атмосферный воздух от стационарных источников ("Статистический ежегодник Белгородской области"</w:t>
            </w:r>
          </w:p>
          <w:p>
            <w:pPr>
              <w:pStyle w:val="0"/>
              <w:jc w:val="center"/>
            </w:pPr>
            <w:r>
              <w:rPr>
                <w:sz w:val="20"/>
              </w:rPr>
              <w:t xml:space="preserve">(код издания 0109),</w:t>
            </w:r>
          </w:p>
          <w:p>
            <w:pPr>
              <w:pStyle w:val="0"/>
              <w:jc w:val="center"/>
            </w:pPr>
            <w:r>
              <w:rPr>
                <w:sz w:val="20"/>
              </w:rPr>
              <w:t xml:space="preserve">b - валовый региональный продукт (статистический бюллетень "Данные об объемах произведенного валового регионального продукта в целом по Белгородской области и видам экономической деятельности"</w:t>
            </w:r>
          </w:p>
          <w:p>
            <w:pPr>
              <w:pStyle w:val="0"/>
              <w:jc w:val="center"/>
            </w:pPr>
            <w:r>
              <w:rPr>
                <w:sz w:val="20"/>
              </w:rPr>
              <w:t xml:space="preserve">(код издания 0620)</w:t>
            </w:r>
          </w:p>
        </w:tc>
        <w:tc>
          <w:tcPr>
            <w:tcW w:w="1984" w:type="dxa"/>
            <w:vAlign w:val="center"/>
          </w:tcPr>
          <w:p>
            <w:pPr>
              <w:pStyle w:val="0"/>
              <w:jc w:val="center"/>
            </w:pPr>
            <w:r>
              <w:rPr>
                <w:sz w:val="20"/>
              </w:rPr>
              <w:t xml:space="preserve">Данные органов государственной власти (далее - статистическая информация)</w:t>
            </w:r>
          </w:p>
        </w:tc>
        <w:tc>
          <w:tcPr>
            <w:tcW w:w="1714" w:type="dxa"/>
            <w:vAlign w:val="center"/>
          </w:tcPr>
          <w:p>
            <w:pPr>
              <w:pStyle w:val="0"/>
              <w:jc w:val="center"/>
            </w:pPr>
            <w:r>
              <w:rPr>
                <w:sz w:val="20"/>
              </w:rPr>
              <w:t xml:space="preserve">Ежегодно до 25 ноября второго года, следующего за отчетным</w:t>
            </w:r>
          </w:p>
        </w:tc>
      </w:tr>
      <w:tr>
        <w:tc>
          <w:tcPr>
            <w:tcW w:w="567" w:type="dxa"/>
            <w:vAlign w:val="center"/>
          </w:tcPr>
          <w:p>
            <w:pPr>
              <w:pStyle w:val="0"/>
              <w:jc w:val="center"/>
            </w:pPr>
            <w:r>
              <w:rPr>
                <w:sz w:val="20"/>
              </w:rPr>
              <w:t xml:space="preserve">2</w:t>
            </w:r>
          </w:p>
        </w:tc>
        <w:tc>
          <w:tcPr>
            <w:tcW w:w="2134" w:type="dxa"/>
            <w:vAlign w:val="center"/>
          </w:tcPr>
          <w:p>
            <w:pPr>
              <w:pStyle w:val="0"/>
              <w:jc w:val="center"/>
            </w:pPr>
            <w:r>
              <w:rPr>
                <w:sz w:val="20"/>
              </w:rPr>
              <w:t xml:space="preserve">Удельный объем сбросов загрязненных сточных вод</w:t>
            </w:r>
          </w:p>
        </w:tc>
        <w:tc>
          <w:tcPr>
            <w:tcW w:w="1249" w:type="dxa"/>
            <w:vAlign w:val="center"/>
          </w:tcPr>
          <w:p>
            <w:pPr>
              <w:pStyle w:val="0"/>
              <w:jc w:val="center"/>
            </w:pPr>
            <w:r>
              <w:rPr>
                <w:sz w:val="20"/>
              </w:rPr>
              <w:t xml:space="preserve">Куб. м/млн руб. ВРП</w:t>
            </w:r>
          </w:p>
        </w:tc>
        <w:tc>
          <w:tcPr>
            <w:tcW w:w="3742" w:type="dxa"/>
            <w:vAlign w:val="center"/>
          </w:tcPr>
          <w:p>
            <w:pPr>
              <w:pStyle w:val="0"/>
              <w:jc w:val="center"/>
            </w:pPr>
            <w:r>
              <w:rPr>
                <w:sz w:val="20"/>
              </w:rPr>
              <w:t xml:space="preserve">Удельный вес = a / b, где:</w:t>
            </w:r>
          </w:p>
          <w:p>
            <w:pPr>
              <w:pStyle w:val="0"/>
              <w:jc w:val="center"/>
            </w:pPr>
            <w:r>
              <w:rPr>
                <w:sz w:val="20"/>
              </w:rPr>
              <w:t xml:space="preserve">удельный вес - удельный объем сбросов загрязненных сточных вод;</w:t>
            </w:r>
          </w:p>
          <w:p>
            <w:pPr>
              <w:pStyle w:val="0"/>
              <w:jc w:val="center"/>
            </w:pPr>
            <w:r>
              <w:rPr>
                <w:sz w:val="20"/>
              </w:rPr>
              <w:t xml:space="preserve">a - объем сбросов загрязненных сточных вод ("Статистический ежегодник Белгородской области" (код издания 0109), b - валовый региональный продукт (статистический бюллетень "Данные об объемах произведенного валового регионального продукта в целом по Белгородской области и видам экономической деятельности" (код издания 0620)</w:t>
            </w:r>
          </w:p>
        </w:tc>
        <w:tc>
          <w:tcPr>
            <w:tcW w:w="1984" w:type="dxa"/>
            <w:vAlign w:val="center"/>
          </w:tcPr>
          <w:p>
            <w:pPr>
              <w:pStyle w:val="0"/>
              <w:jc w:val="center"/>
            </w:pPr>
            <w:r>
              <w:rPr>
                <w:sz w:val="20"/>
              </w:rPr>
              <w:t xml:space="preserve">Статистическая информация</w:t>
            </w:r>
          </w:p>
        </w:tc>
        <w:tc>
          <w:tcPr>
            <w:tcW w:w="1714" w:type="dxa"/>
            <w:vAlign w:val="center"/>
          </w:tcPr>
          <w:p>
            <w:pPr>
              <w:pStyle w:val="0"/>
              <w:jc w:val="center"/>
            </w:pPr>
            <w:r>
              <w:rPr>
                <w:sz w:val="20"/>
              </w:rPr>
              <w:t xml:space="preserve">Ежегодно до 25 ноября второго года, следующего за отчетным</w:t>
            </w:r>
          </w:p>
        </w:tc>
      </w:tr>
      <w:tr>
        <w:tc>
          <w:tcPr>
            <w:tcW w:w="567" w:type="dxa"/>
            <w:vAlign w:val="center"/>
          </w:tcPr>
          <w:p>
            <w:pPr>
              <w:pStyle w:val="0"/>
              <w:jc w:val="center"/>
            </w:pPr>
            <w:r>
              <w:rPr>
                <w:sz w:val="20"/>
              </w:rPr>
              <w:t xml:space="preserve">3</w:t>
            </w:r>
          </w:p>
        </w:tc>
        <w:tc>
          <w:tcPr>
            <w:tcW w:w="2134" w:type="dxa"/>
            <w:vAlign w:val="center"/>
          </w:tcPr>
          <w:p>
            <w:pPr>
              <w:pStyle w:val="0"/>
              <w:jc w:val="center"/>
            </w:pPr>
            <w:r>
              <w:rPr>
                <w:sz w:val="20"/>
              </w:rPr>
              <w:t xml:space="preserve">Удельный объем образующихся отходов производства и потребления</w:t>
            </w:r>
          </w:p>
        </w:tc>
        <w:tc>
          <w:tcPr>
            <w:tcW w:w="1249" w:type="dxa"/>
            <w:vAlign w:val="center"/>
          </w:tcPr>
          <w:p>
            <w:pPr>
              <w:pStyle w:val="0"/>
              <w:jc w:val="center"/>
            </w:pPr>
            <w:r>
              <w:rPr>
                <w:sz w:val="20"/>
              </w:rPr>
              <w:t xml:space="preserve">Тонн/млн руб. ВРП</w:t>
            </w:r>
          </w:p>
        </w:tc>
        <w:tc>
          <w:tcPr>
            <w:tcW w:w="3742" w:type="dxa"/>
            <w:vAlign w:val="center"/>
          </w:tcPr>
          <w:p>
            <w:pPr>
              <w:pStyle w:val="0"/>
              <w:jc w:val="center"/>
            </w:pPr>
            <w:r>
              <w:rPr>
                <w:sz w:val="20"/>
              </w:rPr>
              <w:t xml:space="preserve">Удельный вес = a / b, где:</w:t>
            </w:r>
          </w:p>
          <w:p>
            <w:pPr>
              <w:pStyle w:val="0"/>
              <w:jc w:val="center"/>
            </w:pPr>
            <w:r>
              <w:rPr>
                <w:sz w:val="20"/>
              </w:rPr>
              <w:t xml:space="preserve">удельный вес - удельный объем образующихся отходов производства и потребления;</w:t>
            </w:r>
          </w:p>
          <w:p>
            <w:pPr>
              <w:pStyle w:val="0"/>
              <w:jc w:val="center"/>
            </w:pPr>
            <w:r>
              <w:rPr>
                <w:sz w:val="20"/>
              </w:rPr>
              <w:t xml:space="preserve">a - объем образующихся отходов производства и потребления ("Статистический ежегодник Белгородской области"</w:t>
            </w:r>
          </w:p>
          <w:p>
            <w:pPr>
              <w:pStyle w:val="0"/>
              <w:jc w:val="center"/>
            </w:pPr>
            <w:r>
              <w:rPr>
                <w:sz w:val="20"/>
              </w:rPr>
              <w:t xml:space="preserve">(код издания 0109),</w:t>
            </w:r>
          </w:p>
          <w:p>
            <w:pPr>
              <w:pStyle w:val="0"/>
              <w:jc w:val="center"/>
            </w:pPr>
            <w:r>
              <w:rPr>
                <w:sz w:val="20"/>
              </w:rPr>
              <w:t xml:space="preserve">b - валовый региональный продукт (статистический бюллетень "Данные об объемах произведенного валового регионального продукта в целом по Белгородской области и видам экономической деятельности"</w:t>
            </w:r>
          </w:p>
          <w:p>
            <w:pPr>
              <w:pStyle w:val="0"/>
              <w:jc w:val="center"/>
            </w:pPr>
            <w:r>
              <w:rPr>
                <w:sz w:val="20"/>
              </w:rPr>
              <w:t xml:space="preserve">(код издания 0620)</w:t>
            </w:r>
          </w:p>
        </w:tc>
        <w:tc>
          <w:tcPr>
            <w:tcW w:w="1984" w:type="dxa"/>
            <w:vAlign w:val="center"/>
          </w:tcPr>
          <w:p>
            <w:pPr>
              <w:pStyle w:val="0"/>
              <w:jc w:val="center"/>
            </w:pPr>
            <w:r>
              <w:rPr>
                <w:sz w:val="20"/>
              </w:rPr>
              <w:t xml:space="preserve">Статистическая информация</w:t>
            </w:r>
          </w:p>
        </w:tc>
        <w:tc>
          <w:tcPr>
            <w:tcW w:w="1714" w:type="dxa"/>
            <w:vAlign w:val="center"/>
          </w:tcPr>
          <w:p>
            <w:pPr>
              <w:pStyle w:val="0"/>
              <w:jc w:val="center"/>
            </w:pPr>
            <w:r>
              <w:rPr>
                <w:sz w:val="20"/>
              </w:rPr>
              <w:t xml:space="preserve">Ежегодно до 25 ноября второго года, следующего за отчетным</w:t>
            </w:r>
          </w:p>
        </w:tc>
      </w:tr>
      <w:tr>
        <w:tc>
          <w:tcPr>
            <w:tcW w:w="567" w:type="dxa"/>
            <w:vAlign w:val="center"/>
          </w:tcPr>
          <w:p>
            <w:pPr>
              <w:pStyle w:val="0"/>
              <w:jc w:val="center"/>
            </w:pPr>
            <w:r>
              <w:rPr>
                <w:sz w:val="20"/>
              </w:rPr>
              <w:t xml:space="preserve">4</w:t>
            </w:r>
          </w:p>
        </w:tc>
        <w:tc>
          <w:tcPr>
            <w:tcW w:w="2134" w:type="dxa"/>
            <w:vAlign w:val="center"/>
          </w:tcPr>
          <w:p>
            <w:pPr>
              <w:pStyle w:val="0"/>
              <w:jc w:val="center"/>
            </w:pPr>
            <w:r>
              <w:rPr>
                <w:sz w:val="20"/>
              </w:rPr>
              <w:t xml:space="preserve">Индекс прироста численности косули</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Индекс = допустимая численность / численность по учету x 100%</w:t>
            </w:r>
          </w:p>
        </w:tc>
        <w:tc>
          <w:tcPr>
            <w:tcW w:w="1984" w:type="dxa"/>
            <w:vAlign w:val="center"/>
          </w:tcPr>
          <w:p>
            <w:pPr>
              <w:pStyle w:val="0"/>
              <w:jc w:val="center"/>
            </w:pPr>
            <w:r>
              <w:rPr>
                <w:sz w:val="20"/>
              </w:rPr>
              <w:t xml:space="preserve">Периодическое обследование</w:t>
            </w:r>
          </w:p>
        </w:tc>
        <w:tc>
          <w:tcPr>
            <w:tcW w:w="1714" w:type="dxa"/>
            <w:vAlign w:val="center"/>
          </w:tcPr>
          <w:p>
            <w:pPr>
              <w:pStyle w:val="0"/>
              <w:jc w:val="center"/>
            </w:pPr>
            <w:r>
              <w:rPr>
                <w:sz w:val="20"/>
              </w:rPr>
              <w:t xml:space="preserve">Ежегодно до 20 числа месяца, следующего за отчетным годом)</w:t>
            </w:r>
          </w:p>
        </w:tc>
      </w:tr>
      <w:tr>
        <w:tc>
          <w:tcPr>
            <w:tcW w:w="567" w:type="dxa"/>
            <w:vAlign w:val="center"/>
          </w:tcPr>
          <w:p>
            <w:pPr>
              <w:pStyle w:val="0"/>
              <w:jc w:val="center"/>
            </w:pPr>
            <w:r>
              <w:rPr>
                <w:sz w:val="20"/>
              </w:rPr>
              <w:t xml:space="preserve">5</w:t>
            </w:r>
          </w:p>
        </w:tc>
        <w:tc>
          <w:tcPr>
            <w:tcW w:w="2134" w:type="dxa"/>
            <w:vAlign w:val="center"/>
          </w:tcPr>
          <w:p>
            <w:pPr>
              <w:pStyle w:val="0"/>
              <w:jc w:val="center"/>
            </w:pPr>
            <w:r>
              <w:rPr>
                <w:sz w:val="20"/>
              </w:rPr>
              <w:t xml:space="preserve">Доля проведенных водохозяйственных мероприятий и мероприятий по охране окружающей среды от установленного перечня мероприятий, проводимых за счет бюджетов всех уровней</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А / Б x 100%, где:</w:t>
            </w:r>
          </w:p>
          <w:p>
            <w:pPr>
              <w:pStyle w:val="0"/>
              <w:jc w:val="center"/>
            </w:pPr>
            <w:r>
              <w:rPr>
                <w:sz w:val="20"/>
              </w:rPr>
              <w:t xml:space="preserve">А - количество выполненных водохозяйственных мероприятий и мероприятий по охране окружающей среды за текущий год за счет бюджетов всех уровней,</w:t>
            </w:r>
          </w:p>
          <w:p>
            <w:pPr>
              <w:pStyle w:val="0"/>
              <w:jc w:val="center"/>
            </w:pPr>
            <w:r>
              <w:rPr>
                <w:sz w:val="20"/>
              </w:rPr>
              <w:t xml:space="preserve">Б - общее количество запланированных водохозяйственных мероприятий и мероприятий по охране окружающей среды на текущий год за счет бюджетов всех уровней</w:t>
            </w:r>
          </w:p>
        </w:tc>
        <w:tc>
          <w:tcPr>
            <w:tcW w:w="1984" w:type="dxa"/>
            <w:vAlign w:val="center"/>
          </w:tcPr>
          <w:p>
            <w:pPr>
              <w:pStyle w:val="0"/>
              <w:jc w:val="center"/>
            </w:pPr>
            <w:r>
              <w:rPr>
                <w:sz w:val="20"/>
              </w:rPr>
              <w:t xml:space="preserve">Финансовая отчетность</w:t>
            </w:r>
          </w:p>
        </w:tc>
        <w:tc>
          <w:tcPr>
            <w:tcW w:w="1714" w:type="dxa"/>
            <w:vAlign w:val="center"/>
          </w:tcPr>
          <w:p>
            <w:pPr>
              <w:pStyle w:val="0"/>
              <w:jc w:val="center"/>
            </w:pPr>
            <w:r>
              <w:rPr>
                <w:sz w:val="20"/>
              </w:rPr>
              <w:t xml:space="preserve">Ежегодно до 10 февраля года, следующего за отчетным</w:t>
            </w:r>
          </w:p>
        </w:tc>
      </w:tr>
      <w:tr>
        <w:tc>
          <w:tcPr>
            <w:gridSpan w:val="6"/>
            <w:tcW w:w="11390" w:type="dxa"/>
            <w:vAlign w:val="center"/>
          </w:tcPr>
          <w:p>
            <w:pPr>
              <w:pStyle w:val="0"/>
              <w:outlineLvl w:val="3"/>
              <w:jc w:val="center"/>
            </w:pPr>
            <w:r>
              <w:rPr>
                <w:sz w:val="20"/>
              </w:rPr>
              <w:t xml:space="preserve">Подпрограмма 1 "Развитие лесного хозяйства Белгородской области"</w:t>
            </w:r>
          </w:p>
        </w:tc>
      </w:tr>
      <w:tr>
        <w:tc>
          <w:tcPr>
            <w:tcW w:w="567" w:type="dxa"/>
            <w:vAlign w:val="center"/>
          </w:tcPr>
          <w:p>
            <w:pPr>
              <w:pStyle w:val="0"/>
              <w:jc w:val="center"/>
            </w:pPr>
            <w:r>
              <w:rPr>
                <w:sz w:val="20"/>
              </w:rPr>
              <w:t xml:space="preserve">6</w:t>
            </w:r>
          </w:p>
        </w:tc>
        <w:tc>
          <w:tcPr>
            <w:tcW w:w="2134" w:type="dxa"/>
            <w:vAlign w:val="center"/>
          </w:tcPr>
          <w:p>
            <w:pPr>
              <w:pStyle w:val="0"/>
              <w:jc w:val="center"/>
            </w:pPr>
            <w:r>
              <w:rPr>
                <w:sz w:val="20"/>
              </w:rPr>
              <w:t xml:space="preserve">Доля площади лесов, выбывших из состава покрытых лесной растительностью земель лесного фонда в связи с воздействием пожаров, вредных организмов, рубок и других факторов, в общей площади покрытых лесной растительностью земель лесного фонда</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(А + Б) / В x 100, где:</w:t>
            </w:r>
          </w:p>
          <w:p>
            <w:pPr>
              <w:pStyle w:val="0"/>
              <w:jc w:val="center"/>
            </w:pPr>
            <w:r>
              <w:rPr>
                <w:sz w:val="20"/>
              </w:rPr>
              <w:t xml:space="preserve">А - погибло лесных насаждений всего в связи с воздействием пожаров, вредных организмов, тыс. га;</w:t>
            </w:r>
          </w:p>
          <w:p>
            <w:pPr>
              <w:pStyle w:val="0"/>
              <w:jc w:val="center"/>
            </w:pPr>
            <w:r>
              <w:rPr>
                <w:sz w:val="20"/>
              </w:rPr>
              <w:t xml:space="preserve">Б - площадь выбывших из состава покрытых лесной растительностью земель лесного фонда в связи со сплошными рубками, тыс. га;</w:t>
            </w:r>
          </w:p>
          <w:p>
            <w:pPr>
              <w:pStyle w:val="0"/>
              <w:jc w:val="center"/>
            </w:pPr>
            <w:r>
              <w:rPr>
                <w:sz w:val="20"/>
              </w:rPr>
              <w:t xml:space="preserve">В - площадь покрытых лесной растительностью земель лесного фонда на территории субъекта Российской Федерации, тыс. га</w:t>
            </w:r>
          </w:p>
        </w:tc>
        <w:tc>
          <w:tcPr>
            <w:tcW w:w="1984" w:type="dxa"/>
            <w:vAlign w:val="center"/>
          </w:tcPr>
          <w:p>
            <w:pPr>
              <w:pStyle w:val="0"/>
              <w:jc w:val="center"/>
            </w:pPr>
            <w:r>
              <w:rPr>
                <w:sz w:val="20"/>
              </w:rPr>
              <w:t xml:space="preserve">Периодическое обследование</w:t>
            </w:r>
          </w:p>
        </w:tc>
        <w:tc>
          <w:tcPr>
            <w:tcW w:w="1714" w:type="dxa"/>
            <w:vAlign w:val="center"/>
          </w:tcPr>
          <w:p>
            <w:pPr>
              <w:pStyle w:val="0"/>
              <w:jc w:val="center"/>
            </w:pPr>
            <w:r>
              <w:rPr>
                <w:sz w:val="20"/>
              </w:rPr>
              <w:t xml:space="preserve">Ежегодно до 20 числа месяца, следующего за отчетным годом</w:t>
            </w:r>
          </w:p>
        </w:tc>
      </w:tr>
      <w:tr>
        <w:tc>
          <w:tcPr>
            <w:tcW w:w="567" w:type="dxa"/>
            <w:vAlign w:val="center"/>
          </w:tcPr>
          <w:p>
            <w:pPr>
              <w:pStyle w:val="0"/>
              <w:jc w:val="center"/>
            </w:pPr>
            <w:r>
              <w:rPr>
                <w:sz w:val="20"/>
              </w:rPr>
              <w:t xml:space="preserve">7</w:t>
            </w:r>
          </w:p>
        </w:tc>
        <w:tc>
          <w:tcPr>
            <w:tcW w:w="2134" w:type="dxa"/>
            <w:vAlign w:val="center"/>
          </w:tcPr>
          <w:p>
            <w:pPr>
              <w:pStyle w:val="0"/>
              <w:jc w:val="center"/>
            </w:pPr>
            <w:r>
              <w:rPr>
                <w:sz w:val="20"/>
              </w:rPr>
              <w:t xml:space="preserve">Объем платежей в бюджетные системы Российской Федерации от использования лесов, расположенных на землях лесного фонда, в расчете на 1 га земель лесного фонда</w:t>
            </w:r>
          </w:p>
        </w:tc>
        <w:tc>
          <w:tcPr>
            <w:tcW w:w="1249" w:type="dxa"/>
            <w:vAlign w:val="center"/>
          </w:tcPr>
          <w:p>
            <w:pPr>
              <w:pStyle w:val="0"/>
              <w:jc w:val="center"/>
            </w:pPr>
            <w:r>
              <w:rPr>
                <w:sz w:val="20"/>
              </w:rPr>
              <w:t xml:space="preserve">Руб./га</w:t>
            </w:r>
          </w:p>
        </w:tc>
        <w:tc>
          <w:tcPr>
            <w:tcW w:w="3742" w:type="dxa"/>
            <w:vAlign w:val="center"/>
          </w:tcPr>
          <w:p>
            <w:pPr>
              <w:pStyle w:val="0"/>
              <w:jc w:val="center"/>
            </w:pPr>
            <w:r>
              <w:rPr>
                <w:sz w:val="20"/>
              </w:rPr>
              <w:t xml:space="preserve">А / Б, где:</w:t>
            </w:r>
          </w:p>
          <w:p>
            <w:pPr>
              <w:pStyle w:val="0"/>
              <w:jc w:val="center"/>
            </w:pPr>
            <w:r>
              <w:rPr>
                <w:sz w:val="20"/>
              </w:rPr>
              <w:t xml:space="preserve">А - объем платежей в бюджетную систему Российской Федерации от использования лесов на землях лесного фонда на территории субъекта Российской Федерации, тыс. руб.;</w:t>
            </w:r>
          </w:p>
          <w:p>
            <w:pPr>
              <w:pStyle w:val="0"/>
              <w:jc w:val="center"/>
            </w:pPr>
            <w:r>
              <w:rPr>
                <w:sz w:val="20"/>
              </w:rPr>
              <w:t xml:space="preserve">Б - площадь земель лесного фонда на территории субъекта Российской Федерации, тыс. га</w:t>
            </w:r>
          </w:p>
        </w:tc>
        <w:tc>
          <w:tcPr>
            <w:tcW w:w="1984" w:type="dxa"/>
            <w:vAlign w:val="center"/>
          </w:tcPr>
          <w:p>
            <w:pPr>
              <w:pStyle w:val="0"/>
              <w:jc w:val="center"/>
            </w:pPr>
            <w:r>
              <w:rPr>
                <w:sz w:val="20"/>
              </w:rPr>
              <w:t xml:space="preserve">Периодическое обследование</w:t>
            </w:r>
          </w:p>
        </w:tc>
        <w:tc>
          <w:tcPr>
            <w:tcW w:w="1714" w:type="dxa"/>
            <w:vAlign w:val="center"/>
          </w:tcPr>
          <w:p>
            <w:pPr>
              <w:pStyle w:val="0"/>
              <w:jc w:val="center"/>
            </w:pPr>
            <w:r>
              <w:rPr>
                <w:sz w:val="20"/>
              </w:rPr>
              <w:t xml:space="preserve">Ежегодно до 20 числа месяца, следующего за отчетным годом</w:t>
            </w:r>
          </w:p>
        </w:tc>
      </w:tr>
      <w:tr>
        <w:tc>
          <w:tcPr>
            <w:tcW w:w="567" w:type="dxa"/>
            <w:vAlign w:val="center"/>
          </w:tcPr>
          <w:p>
            <w:pPr>
              <w:pStyle w:val="0"/>
              <w:jc w:val="center"/>
            </w:pPr>
            <w:r>
              <w:rPr>
                <w:sz w:val="20"/>
              </w:rPr>
              <w:t xml:space="preserve">8</w:t>
            </w:r>
          </w:p>
        </w:tc>
        <w:tc>
          <w:tcPr>
            <w:tcW w:w="2134" w:type="dxa"/>
            <w:vAlign w:val="center"/>
          </w:tcPr>
          <w:p>
            <w:pPr>
              <w:pStyle w:val="0"/>
              <w:jc w:val="center"/>
            </w:pPr>
            <w:r>
              <w:rPr>
                <w:sz w:val="20"/>
              </w:rPr>
              <w:t xml:space="preserve">Лесистость на территории Белгородской области</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А / Б x 100%, где:</w:t>
            </w:r>
          </w:p>
          <w:p>
            <w:pPr>
              <w:pStyle w:val="0"/>
              <w:jc w:val="center"/>
            </w:pPr>
            <w:r>
              <w:rPr>
                <w:sz w:val="20"/>
              </w:rPr>
              <w:t xml:space="preserve">А - площадь занятых лесными насаждениями земель на территории субъекта, тыс. га Российской Федерации;</w:t>
            </w:r>
          </w:p>
          <w:p>
            <w:pPr>
              <w:pStyle w:val="0"/>
              <w:jc w:val="center"/>
            </w:pPr>
            <w:r>
              <w:rPr>
                <w:sz w:val="20"/>
              </w:rPr>
              <w:t xml:space="preserve">Б - площадь субъекта Российской Федерации, тыс. га</w:t>
            </w:r>
          </w:p>
        </w:tc>
        <w:tc>
          <w:tcPr>
            <w:tcW w:w="1984" w:type="dxa"/>
            <w:vAlign w:val="center"/>
          </w:tcPr>
          <w:p>
            <w:pPr>
              <w:pStyle w:val="0"/>
              <w:jc w:val="center"/>
            </w:pPr>
            <w:r>
              <w:rPr>
                <w:sz w:val="20"/>
              </w:rPr>
              <w:t xml:space="preserve">Периодическое обследование</w:t>
            </w:r>
          </w:p>
        </w:tc>
        <w:tc>
          <w:tcPr>
            <w:tcW w:w="1714" w:type="dxa"/>
            <w:vAlign w:val="center"/>
          </w:tcPr>
          <w:p>
            <w:pPr>
              <w:pStyle w:val="0"/>
              <w:jc w:val="center"/>
            </w:pPr>
            <w:r>
              <w:rPr>
                <w:sz w:val="20"/>
              </w:rPr>
              <w:t xml:space="preserve">Ежегодно до 20 числа месяца, следующего за отчетным годом</w:t>
            </w:r>
          </w:p>
        </w:tc>
      </w:tr>
      <w:tr>
        <w:tc>
          <w:tcPr>
            <w:gridSpan w:val="6"/>
            <w:tcW w:w="11390" w:type="dxa"/>
            <w:vAlign w:val="center"/>
          </w:tcPr>
          <w:p>
            <w:pPr>
              <w:pStyle w:val="0"/>
              <w:outlineLvl w:val="3"/>
              <w:jc w:val="center"/>
            </w:pPr>
            <w:r>
              <w:rPr>
                <w:sz w:val="20"/>
              </w:rPr>
              <w:t xml:space="preserve">Подпрограмма 2 "Развитие водохозяйственного комплекса"</w:t>
            </w:r>
          </w:p>
        </w:tc>
      </w:tr>
      <w:tr>
        <w:tc>
          <w:tcPr>
            <w:tcW w:w="567" w:type="dxa"/>
            <w:vAlign w:val="center"/>
          </w:tcPr>
          <w:p>
            <w:pPr>
              <w:pStyle w:val="0"/>
              <w:jc w:val="center"/>
            </w:pPr>
            <w:r>
              <w:rPr>
                <w:sz w:val="20"/>
              </w:rPr>
              <w:t xml:space="preserve">9</w:t>
            </w:r>
          </w:p>
        </w:tc>
        <w:tc>
          <w:tcPr>
            <w:tcW w:w="2134" w:type="dxa"/>
            <w:vAlign w:val="center"/>
          </w:tcPr>
          <w:p>
            <w:pPr>
              <w:pStyle w:val="0"/>
              <w:jc w:val="center"/>
            </w:pPr>
            <w:r>
              <w:rPr>
                <w:sz w:val="20"/>
              </w:rPr>
              <w:t xml:space="preserve">Доля проведенных водохозяйственных мероприятий от установленного перечня водохозяйственных мероприятий, проводимых за счет субсидий, субвенций</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А / Б x 100%, где:</w:t>
            </w:r>
          </w:p>
          <w:p>
            <w:pPr>
              <w:pStyle w:val="0"/>
              <w:jc w:val="center"/>
            </w:pPr>
            <w:r>
              <w:rPr>
                <w:sz w:val="20"/>
              </w:rPr>
              <w:t xml:space="preserve">А - количество выполненных водохозяйственных мероприятий за текущий год за счет субсидий, субвенций;</w:t>
            </w:r>
          </w:p>
          <w:p>
            <w:pPr>
              <w:pStyle w:val="0"/>
              <w:jc w:val="center"/>
            </w:pPr>
            <w:r>
              <w:rPr>
                <w:sz w:val="20"/>
              </w:rPr>
              <w:t xml:space="preserve">Б - общее количество запланированных водохозяйственных мероприятий на текущий год за счет субсидий, субвенций</w:t>
            </w:r>
          </w:p>
        </w:tc>
        <w:tc>
          <w:tcPr>
            <w:tcW w:w="1984" w:type="dxa"/>
            <w:vAlign w:val="center"/>
          </w:tcPr>
          <w:p>
            <w:pPr>
              <w:pStyle w:val="0"/>
              <w:jc w:val="center"/>
            </w:pPr>
            <w:r>
              <w:rPr>
                <w:sz w:val="20"/>
              </w:rPr>
              <w:t xml:space="preserve">Финансовая отчетность</w:t>
            </w:r>
          </w:p>
        </w:tc>
        <w:tc>
          <w:tcPr>
            <w:tcW w:w="1714" w:type="dxa"/>
            <w:vAlign w:val="center"/>
          </w:tcPr>
          <w:p>
            <w:pPr>
              <w:pStyle w:val="0"/>
              <w:jc w:val="center"/>
            </w:pPr>
            <w:r>
              <w:rPr>
                <w:sz w:val="20"/>
              </w:rPr>
              <w:t xml:space="preserve">Ежегодно до 10 февраля года, следующего за отчетным</w:t>
            </w:r>
          </w:p>
        </w:tc>
      </w:tr>
      <w:tr>
        <w:tc>
          <w:tcPr>
            <w:gridSpan w:val="6"/>
            <w:tcW w:w="11390" w:type="dxa"/>
            <w:vAlign w:val="center"/>
          </w:tcPr>
          <w:p>
            <w:pPr>
              <w:pStyle w:val="0"/>
              <w:outlineLvl w:val="3"/>
              <w:jc w:val="center"/>
            </w:pPr>
            <w:r>
              <w:rPr>
                <w:sz w:val="20"/>
              </w:rPr>
              <w:t xml:space="preserve">Подпрограмма 3 "Охрана окружающей среды и рациональное природопользование"</w:t>
            </w:r>
          </w:p>
        </w:tc>
      </w:tr>
      <w:tr>
        <w:tc>
          <w:tcPr>
            <w:tcW w:w="567" w:type="dxa"/>
            <w:vAlign w:val="center"/>
          </w:tcPr>
          <w:p>
            <w:pPr>
              <w:pStyle w:val="0"/>
              <w:jc w:val="center"/>
            </w:pPr>
            <w:r>
              <w:rPr>
                <w:sz w:val="20"/>
              </w:rPr>
              <w:t xml:space="preserve">10</w:t>
            </w:r>
          </w:p>
        </w:tc>
        <w:tc>
          <w:tcPr>
            <w:tcW w:w="2134" w:type="dxa"/>
            <w:vAlign w:val="center"/>
          </w:tcPr>
          <w:p>
            <w:pPr>
              <w:pStyle w:val="0"/>
              <w:jc w:val="center"/>
            </w:pPr>
            <w:r>
              <w:rPr>
                <w:sz w:val="20"/>
              </w:rPr>
              <w:t xml:space="preserve">Количество подготовленных проектных решений и отчетов, направленных на экологическую безопасность, стабилизацию и улучшение качества окружающей среды</w:t>
            </w:r>
          </w:p>
        </w:tc>
        <w:tc>
          <w:tcPr>
            <w:tcW w:w="1249" w:type="dxa"/>
            <w:vAlign w:val="center"/>
          </w:tcPr>
          <w:p>
            <w:pPr>
              <w:pStyle w:val="0"/>
              <w:jc w:val="center"/>
            </w:pPr>
            <w:r>
              <w:rPr>
                <w:sz w:val="20"/>
              </w:rPr>
              <w:t xml:space="preserve">Штук</w:t>
            </w:r>
          </w:p>
        </w:tc>
        <w:tc>
          <w:tcPr>
            <w:tcW w:w="3742" w:type="dxa"/>
            <w:vAlign w:val="center"/>
          </w:tcPr>
          <w:p>
            <w:pPr>
              <w:pStyle w:val="0"/>
              <w:jc w:val="center"/>
            </w:pPr>
            <w:r>
              <w:rPr>
                <w:sz w:val="20"/>
              </w:rPr>
              <w:t xml:space="preserve">В - количество подготовленных проектных решений и отчетов, направленных на экологическую безопасность, стабилизацию и улучшение качества окружающей среды за текущий год</w:t>
            </w:r>
          </w:p>
        </w:tc>
        <w:tc>
          <w:tcPr>
            <w:tcW w:w="1984" w:type="dxa"/>
            <w:vAlign w:val="center"/>
          </w:tcPr>
          <w:p>
            <w:pPr>
              <w:pStyle w:val="0"/>
              <w:jc w:val="center"/>
            </w:pPr>
            <w:r>
              <w:rPr>
                <w:sz w:val="20"/>
              </w:rPr>
              <w:t xml:space="preserve">Финансовая отчетность</w:t>
            </w:r>
          </w:p>
        </w:tc>
        <w:tc>
          <w:tcPr>
            <w:tcW w:w="1714" w:type="dxa"/>
            <w:vAlign w:val="center"/>
          </w:tcPr>
          <w:p>
            <w:pPr>
              <w:pStyle w:val="0"/>
              <w:jc w:val="center"/>
            </w:pPr>
            <w:r>
              <w:rPr>
                <w:sz w:val="20"/>
              </w:rPr>
              <w:t xml:space="preserve">Ежегодно до 10 февраля года, следующего за отчетным</w:t>
            </w:r>
          </w:p>
        </w:tc>
      </w:tr>
      <w:tr>
        <w:tblPrEx>
          <w:tblBorders>
            <w:insideH w:val="nil"/>
          </w:tblBorders>
        </w:tblPrEx>
        <w:tc>
          <w:tcPr>
            <w:gridSpan w:val="6"/>
            <w:tcW w:w="11390" w:type="dxa"/>
            <w:tcBorders>
              <w:bottom w:val="nil"/>
            </w:tcBorders>
          </w:tcPr>
          <w:p>
            <w:pPr>
              <w:pStyle w:val="0"/>
              <w:outlineLvl w:val="4"/>
              <w:jc w:val="center"/>
            </w:pPr>
            <w:r>
              <w:rPr>
                <w:sz w:val="20"/>
              </w:rPr>
              <w:t xml:space="preserve">Основное мероприятие 3.5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w:t>
            </w:r>
          </w:p>
        </w:tc>
      </w:tr>
      <w:tr>
        <w:tblPrEx>
          <w:tblBorders>
            <w:insideH w:val="nil"/>
          </w:tblBorders>
        </w:tblPrEx>
        <w:tc>
          <w:tcPr>
            <w:gridSpan w:val="6"/>
            <w:tcW w:w="11390" w:type="dxa"/>
            <w:tcBorders>
              <w:top w:val="nil"/>
            </w:tcBorders>
          </w:tcPr>
          <w:p>
            <w:pPr>
              <w:pStyle w:val="0"/>
              <w:jc w:val="center"/>
            </w:pPr>
            <w:r>
              <w:rPr>
                <w:sz w:val="20"/>
              </w:rPr>
              <w:t xml:space="preserve">(введен </w:t>
            </w:r>
            <w:hyperlink w:history="0" r:id="rId216"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rPr>
              <w:t xml:space="preserve"> Правительства Белгородской области от 06.02.2023 N 44-пп)</w:t>
            </w:r>
          </w:p>
        </w:tc>
      </w:tr>
      <w:tr>
        <w:tc>
          <w:tcPr>
            <w:tcW w:w="567" w:type="dxa"/>
            <w:vAlign w:val="center"/>
          </w:tcPr>
          <w:p>
            <w:pPr>
              <w:pStyle w:val="0"/>
              <w:jc w:val="center"/>
            </w:pPr>
            <w:r>
              <w:rPr>
                <w:sz w:val="20"/>
              </w:rPr>
              <w:t xml:space="preserve">10.1</w:t>
            </w:r>
          </w:p>
        </w:tc>
        <w:tc>
          <w:tcPr>
            <w:tcW w:w="2134" w:type="dxa"/>
            <w:vAlign w:val="center"/>
          </w:tcPr>
          <w:p>
            <w:pPr>
              <w:pStyle w:val="0"/>
              <w:jc w:val="center"/>
            </w:pPr>
            <w:r>
              <w:rPr>
                <w:sz w:val="20"/>
              </w:rPr>
              <w:t xml:space="preserve">Уровень наполнения информационной системы зеленой инфраструктуры города</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Z = Kf / Kp x 100, где:</w:t>
            </w:r>
          </w:p>
          <w:p>
            <w:pPr>
              <w:pStyle w:val="0"/>
              <w:jc w:val="center"/>
            </w:pPr>
            <w:r>
              <w:rPr>
                <w:sz w:val="20"/>
              </w:rPr>
              <w:t xml:space="preserve">Z - уровень наполнения информационной системы зеленой инфраструктуры города;</w:t>
            </w:r>
          </w:p>
          <w:p>
            <w:pPr>
              <w:pStyle w:val="0"/>
              <w:jc w:val="center"/>
            </w:pPr>
            <w:r>
              <w:rPr>
                <w:sz w:val="20"/>
              </w:rPr>
              <w:t xml:space="preserve">Kf - количество насаждений, фактически обследованных и внесенных в базу данных "Зеленая инфраструктура города Белгорода", по состоянию на отчетную дату;</w:t>
            </w:r>
          </w:p>
          <w:p>
            <w:pPr>
              <w:pStyle w:val="0"/>
              <w:jc w:val="center"/>
            </w:pPr>
            <w:r>
              <w:rPr>
                <w:sz w:val="20"/>
              </w:rPr>
              <w:t xml:space="preserve">Kp - количество насаждений, планируемых к обследованию и внесению в базу данных "Зеленая инфраструктура города Белгорода"</w:t>
            </w:r>
          </w:p>
        </w:tc>
        <w:tc>
          <w:tcPr>
            <w:tcW w:w="198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Ежеквартально не позднее 3-го рабочего дня месяца, следующего за отчетным кварталом;</w:t>
            </w:r>
          </w:p>
          <w:p>
            <w:pPr>
              <w:pStyle w:val="0"/>
              <w:jc w:val="center"/>
            </w:pPr>
            <w:r>
              <w:rPr>
                <w:sz w:val="20"/>
              </w:rPr>
              <w:t xml:space="preserve">по итогам года не позднее 14 января года, следующего за отчетным</w:t>
            </w:r>
          </w:p>
        </w:tc>
      </w:tr>
      <w:tr>
        <w:tc>
          <w:tcPr>
            <w:tcW w:w="567" w:type="dxa"/>
            <w:vAlign w:val="center"/>
          </w:tcPr>
          <w:p>
            <w:pPr>
              <w:pStyle w:val="0"/>
              <w:jc w:val="center"/>
            </w:pPr>
            <w:r>
              <w:rPr>
                <w:sz w:val="20"/>
              </w:rPr>
              <w:t xml:space="preserve">10.2</w:t>
            </w:r>
          </w:p>
        </w:tc>
        <w:tc>
          <w:tcPr>
            <w:tcW w:w="2134" w:type="dxa"/>
            <w:vAlign w:val="center"/>
          </w:tcPr>
          <w:p>
            <w:pPr>
              <w:pStyle w:val="0"/>
              <w:jc w:val="center"/>
            </w:pPr>
            <w:r>
              <w:rPr>
                <w:sz w:val="20"/>
              </w:rPr>
              <w:t xml:space="preserve">Количество сформированных пробных (экспериментальных) площадок, полигонов по мониторингу за зелеными насаждениями (урбобиоценозами) города</w:t>
            </w:r>
          </w:p>
        </w:tc>
        <w:tc>
          <w:tcPr>
            <w:tcW w:w="1249" w:type="dxa"/>
            <w:vAlign w:val="center"/>
          </w:tcPr>
          <w:p>
            <w:pPr>
              <w:pStyle w:val="0"/>
              <w:jc w:val="center"/>
            </w:pPr>
            <w:r>
              <w:rPr>
                <w:sz w:val="20"/>
              </w:rPr>
              <w:t xml:space="preserve">Единиц</w:t>
            </w:r>
          </w:p>
        </w:tc>
        <w:tc>
          <w:tcPr>
            <w:tcW w:w="3742" w:type="dxa"/>
            <w:vAlign w:val="center"/>
          </w:tcPr>
          <w:p>
            <w:pPr>
              <w:pStyle w:val="0"/>
              <w:jc w:val="center"/>
            </w:pPr>
            <w:r>
              <w:rPr>
                <w:sz w:val="20"/>
              </w:rPr>
              <w:t xml:space="preserve">Фактическое количество сформированных пробных (экспериментальных) площадок, полигонов по мониторингу зеленых насаждений (урбобиоценозов) города</w:t>
            </w:r>
          </w:p>
        </w:tc>
        <w:tc>
          <w:tcPr>
            <w:tcW w:w="198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Ежегодно не позднее 14 января года, следующего за отчетным</w:t>
            </w:r>
          </w:p>
        </w:tc>
      </w:tr>
      <w:tr>
        <w:tc>
          <w:tcPr>
            <w:gridSpan w:val="6"/>
            <w:tcW w:w="11390" w:type="dxa"/>
            <w:vAlign w:val="center"/>
          </w:tcPr>
          <w:p>
            <w:pPr>
              <w:pStyle w:val="0"/>
              <w:outlineLvl w:val="3"/>
              <w:jc w:val="center"/>
            </w:pPr>
            <w:r>
              <w:rPr>
                <w:sz w:val="20"/>
              </w:rPr>
              <w:t xml:space="preserve">Подпрограмма 4 "Сохранение, воспроизводство и использование животного мира"</w:t>
            </w:r>
          </w:p>
        </w:tc>
      </w:tr>
      <w:tr>
        <w:tc>
          <w:tcPr>
            <w:tcW w:w="567" w:type="dxa"/>
            <w:vAlign w:val="center"/>
          </w:tcPr>
          <w:p>
            <w:pPr>
              <w:pStyle w:val="0"/>
              <w:jc w:val="center"/>
            </w:pPr>
            <w:r>
              <w:rPr>
                <w:sz w:val="20"/>
              </w:rPr>
              <w:t xml:space="preserve">11</w:t>
            </w:r>
          </w:p>
        </w:tc>
        <w:tc>
          <w:tcPr>
            <w:tcW w:w="2134" w:type="dxa"/>
            <w:vAlign w:val="center"/>
          </w:tcPr>
          <w:p>
            <w:pPr>
              <w:pStyle w:val="0"/>
              <w:jc w:val="center"/>
            </w:pPr>
            <w:r>
              <w:rPr>
                <w:sz w:val="20"/>
              </w:rPr>
              <w:t xml:space="preserve">Отношение фактической добычи косули европейской к установленным лимитам добычи</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А / Б x 100%, где:</w:t>
            </w:r>
          </w:p>
          <w:p>
            <w:pPr>
              <w:pStyle w:val="0"/>
              <w:jc w:val="center"/>
            </w:pPr>
            <w:r>
              <w:rPr>
                <w:sz w:val="20"/>
              </w:rPr>
              <w:t xml:space="preserve">А - фактическая добыча косули европейской;</w:t>
            </w:r>
          </w:p>
          <w:p>
            <w:pPr>
              <w:pStyle w:val="0"/>
              <w:jc w:val="center"/>
            </w:pPr>
            <w:r>
              <w:rPr>
                <w:sz w:val="20"/>
              </w:rPr>
              <w:t xml:space="preserve">Б - установленный лимит добычи косули европейской</w:t>
            </w:r>
          </w:p>
        </w:tc>
        <w:tc>
          <w:tcPr>
            <w:tcW w:w="1984" w:type="dxa"/>
            <w:vAlign w:val="center"/>
          </w:tcPr>
          <w:p>
            <w:pPr>
              <w:pStyle w:val="0"/>
              <w:jc w:val="center"/>
            </w:pPr>
            <w:r>
              <w:rPr>
                <w:sz w:val="20"/>
              </w:rPr>
              <w:t xml:space="preserve">Периодическое обследование</w:t>
            </w:r>
          </w:p>
        </w:tc>
        <w:tc>
          <w:tcPr>
            <w:tcW w:w="1714" w:type="dxa"/>
            <w:vAlign w:val="center"/>
          </w:tcPr>
          <w:p>
            <w:pPr>
              <w:pStyle w:val="0"/>
              <w:jc w:val="center"/>
            </w:pPr>
            <w:r>
              <w:rPr>
                <w:sz w:val="20"/>
              </w:rPr>
              <w:t xml:space="preserve">Ежегодно до 20 числа месяца, следующего за отчетным годом</w:t>
            </w:r>
          </w:p>
        </w:tc>
      </w:tr>
      <w:tr>
        <w:tc>
          <w:tcPr>
            <w:gridSpan w:val="6"/>
            <w:tcW w:w="11390" w:type="dxa"/>
            <w:vAlign w:val="center"/>
          </w:tcPr>
          <w:p>
            <w:pPr>
              <w:pStyle w:val="0"/>
              <w:outlineLvl w:val="3"/>
              <w:jc w:val="center"/>
            </w:pPr>
            <w:r>
              <w:rPr>
                <w:sz w:val="20"/>
              </w:rPr>
              <w:t xml:space="preserve">Подпрограмма 5 "Любительское рыболовство и охрана водных биоресурсов"</w:t>
            </w:r>
          </w:p>
        </w:tc>
      </w:tr>
      <w:tr>
        <w:tc>
          <w:tcPr>
            <w:tcW w:w="567" w:type="dxa"/>
            <w:vAlign w:val="center"/>
          </w:tcPr>
          <w:p>
            <w:pPr>
              <w:pStyle w:val="0"/>
              <w:jc w:val="center"/>
            </w:pPr>
            <w:r>
              <w:rPr>
                <w:sz w:val="20"/>
              </w:rPr>
              <w:t xml:space="preserve">12</w:t>
            </w:r>
          </w:p>
        </w:tc>
        <w:tc>
          <w:tcPr>
            <w:tcW w:w="2134" w:type="dxa"/>
            <w:vAlign w:val="center"/>
          </w:tcPr>
          <w:p>
            <w:pPr>
              <w:pStyle w:val="0"/>
              <w:jc w:val="center"/>
            </w:pPr>
            <w:r>
              <w:rPr>
                <w:sz w:val="20"/>
              </w:rPr>
              <w:t xml:space="preserve">Средний вылов одного рыболова за один выезд</w:t>
            </w:r>
          </w:p>
        </w:tc>
        <w:tc>
          <w:tcPr>
            <w:tcW w:w="1249" w:type="dxa"/>
            <w:vAlign w:val="center"/>
          </w:tcPr>
          <w:p>
            <w:pPr>
              <w:pStyle w:val="0"/>
              <w:jc w:val="center"/>
            </w:pPr>
            <w:r>
              <w:rPr>
                <w:sz w:val="20"/>
              </w:rPr>
              <w:t xml:space="preserve">Кг</w:t>
            </w:r>
          </w:p>
        </w:tc>
        <w:tc>
          <w:tcPr>
            <w:tcW w:w="3742" w:type="dxa"/>
            <w:vAlign w:val="center"/>
          </w:tcPr>
          <w:p>
            <w:pPr>
              <w:pStyle w:val="0"/>
              <w:jc w:val="center"/>
            </w:pPr>
            <w:r>
              <w:rPr>
                <w:sz w:val="20"/>
              </w:rPr>
              <w:t xml:space="preserve">(A</w:t>
            </w:r>
            <w:r>
              <w:rPr>
                <w:sz w:val="20"/>
                <w:vertAlign w:val="subscript"/>
              </w:rPr>
              <w:t xml:space="preserve">1</w:t>
            </w:r>
            <w:r>
              <w:rPr>
                <w:sz w:val="20"/>
              </w:rPr>
              <w:t xml:space="preserve"> + A</w:t>
            </w:r>
            <w:r>
              <w:rPr>
                <w:sz w:val="20"/>
                <w:vertAlign w:val="subscript"/>
              </w:rPr>
              <w:t xml:space="preserve">2</w:t>
            </w:r>
            <w:r>
              <w:rPr>
                <w:sz w:val="20"/>
              </w:rPr>
              <w:t xml:space="preserve"> + ... + A</w:t>
            </w:r>
            <w:r>
              <w:rPr>
                <w:sz w:val="20"/>
                <w:vertAlign w:val="subscript"/>
              </w:rPr>
              <w:t xml:space="preserve">n</w:t>
            </w:r>
            <w:r>
              <w:rPr>
                <w:sz w:val="20"/>
              </w:rPr>
              <w:t xml:space="preserve">) / N, где:</w:t>
            </w:r>
          </w:p>
          <w:p>
            <w:pPr>
              <w:pStyle w:val="0"/>
              <w:jc w:val="center"/>
            </w:pPr>
            <w:r>
              <w:rPr>
                <w:sz w:val="20"/>
              </w:rPr>
              <w:t xml:space="preserve">A</w:t>
            </w:r>
            <w:r>
              <w:rPr>
                <w:sz w:val="20"/>
                <w:vertAlign w:val="subscript"/>
              </w:rPr>
              <w:t xml:space="preserve">1</w:t>
            </w:r>
            <w:r>
              <w:rPr>
                <w:sz w:val="20"/>
              </w:rPr>
              <w:t xml:space="preserve">, А</w:t>
            </w:r>
            <w:r>
              <w:rPr>
                <w:sz w:val="20"/>
                <w:vertAlign w:val="subscript"/>
              </w:rPr>
              <w:t xml:space="preserve">2</w:t>
            </w:r>
            <w:r>
              <w:rPr>
                <w:sz w:val="20"/>
              </w:rPr>
              <w:t xml:space="preserve">, А</w:t>
            </w:r>
            <w:r>
              <w:rPr>
                <w:sz w:val="20"/>
                <w:vertAlign w:val="subscript"/>
              </w:rPr>
              <w:t xml:space="preserve">n</w:t>
            </w:r>
            <w:r>
              <w:rPr>
                <w:sz w:val="20"/>
              </w:rPr>
              <w:t xml:space="preserve"> - вылов одного рыболова за 1-й, 2-й, n-й выезд;</w:t>
            </w:r>
          </w:p>
          <w:p>
            <w:pPr>
              <w:pStyle w:val="0"/>
              <w:jc w:val="center"/>
            </w:pPr>
            <w:r>
              <w:rPr>
                <w:sz w:val="20"/>
              </w:rPr>
              <w:t xml:space="preserve">N - количество выездов.</w:t>
            </w:r>
          </w:p>
        </w:tc>
        <w:tc>
          <w:tcPr>
            <w:tcW w:w="1984" w:type="dxa"/>
            <w:vAlign w:val="center"/>
          </w:tcPr>
          <w:p>
            <w:pPr>
              <w:pStyle w:val="0"/>
              <w:jc w:val="center"/>
            </w:pPr>
            <w:r>
              <w:rPr>
                <w:sz w:val="20"/>
              </w:rPr>
              <w:t xml:space="preserve">Периодическое обследование</w:t>
            </w:r>
          </w:p>
        </w:tc>
        <w:tc>
          <w:tcPr>
            <w:tcW w:w="1714" w:type="dxa"/>
            <w:vAlign w:val="center"/>
          </w:tcPr>
          <w:p>
            <w:pPr>
              <w:pStyle w:val="0"/>
              <w:jc w:val="center"/>
            </w:pPr>
            <w:r>
              <w:rPr>
                <w:sz w:val="20"/>
              </w:rPr>
              <w:t xml:space="preserve">Ежегодно до 20 числа месяца, следующего за отчетным годом</w:t>
            </w:r>
          </w:p>
        </w:tc>
      </w:tr>
      <w:tr>
        <w:tc>
          <w:tcPr>
            <w:gridSpan w:val="6"/>
            <w:tcW w:w="11390" w:type="dxa"/>
            <w:vAlign w:val="center"/>
          </w:tcPr>
          <w:p>
            <w:pPr>
              <w:pStyle w:val="0"/>
              <w:outlineLvl w:val="3"/>
              <w:jc w:val="center"/>
            </w:pPr>
            <w:r>
              <w:rPr>
                <w:sz w:val="20"/>
              </w:rPr>
              <w:t xml:space="preserve">Подпрограмма 6 "Обеспечение реализации государственной программы"</w:t>
            </w:r>
          </w:p>
        </w:tc>
      </w:tr>
      <w:tr>
        <w:tc>
          <w:tcPr>
            <w:tcW w:w="567" w:type="dxa"/>
            <w:vAlign w:val="center"/>
          </w:tcPr>
          <w:p>
            <w:pPr>
              <w:pStyle w:val="0"/>
              <w:jc w:val="center"/>
            </w:pPr>
            <w:r>
              <w:rPr>
                <w:sz w:val="20"/>
              </w:rPr>
              <w:t xml:space="preserve">13</w:t>
            </w:r>
          </w:p>
        </w:tc>
        <w:tc>
          <w:tcPr>
            <w:tcW w:w="2134" w:type="dxa"/>
            <w:vAlign w:val="center"/>
          </w:tcPr>
          <w:p>
            <w:pPr>
              <w:pStyle w:val="0"/>
              <w:jc w:val="center"/>
            </w:pPr>
            <w:r>
              <w:rPr>
                <w:sz w:val="20"/>
              </w:rPr>
              <w:t xml:space="preserve">Уровень достижения показателей государственной программы</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СУП = (СБкр + СБнр) / n, где:</w:t>
            </w:r>
          </w:p>
          <w:p>
            <w:pPr>
              <w:pStyle w:val="0"/>
              <w:jc w:val="center"/>
            </w:pPr>
            <w:r>
              <w:rPr>
                <w:sz w:val="20"/>
              </w:rPr>
              <w:t xml:space="preserve">СУП - средний уровень достижения показателей государственной программы;</w:t>
            </w:r>
          </w:p>
          <w:p>
            <w:pPr>
              <w:pStyle w:val="0"/>
              <w:jc w:val="center"/>
            </w:pPr>
            <w:r>
              <w:rPr>
                <w:sz w:val="20"/>
              </w:rPr>
              <w:t xml:space="preserve">СБкр - сумма баллов, присвоенных за достижение показателей конечного результата;</w:t>
            </w:r>
          </w:p>
          <w:p>
            <w:pPr>
              <w:pStyle w:val="0"/>
              <w:jc w:val="center"/>
            </w:pPr>
            <w:r>
              <w:rPr>
                <w:sz w:val="20"/>
              </w:rPr>
              <w:t xml:space="preserve">СБнр - сумма баллов, присвоенных за достижение показателей непосредственного результата;</w:t>
            </w:r>
          </w:p>
          <w:p>
            <w:pPr>
              <w:pStyle w:val="0"/>
              <w:jc w:val="center"/>
            </w:pPr>
            <w:r>
              <w:rPr>
                <w:sz w:val="20"/>
              </w:rPr>
              <w:t xml:space="preserve">n - количество показателей (балльная методика расчета согласно </w:t>
            </w:r>
            <w:hyperlink w:history="0" r:id="rId217" w:tooltip="Постановление Правительства Белгородской обл. от 27.05.2013 N 202-пп (ред. от 18.04.2022) &quot;Об утверждении Порядка разработки, реализации и оценки эффективности государственных программ Белгородской области&quot; {КонсультантПлюс}">
              <w:r>
                <w:rPr>
                  <w:sz w:val="20"/>
                  <w:color w:val="0000ff"/>
                </w:rPr>
                <w:t xml:space="preserve">постановлению</w:t>
              </w:r>
            </w:hyperlink>
            <w:r>
              <w:rPr>
                <w:sz w:val="20"/>
              </w:rPr>
              <w:t xml:space="preserve"> Правительства Белгородской области N 202-пп от 27 мая 2013 года)</w:t>
            </w:r>
          </w:p>
        </w:tc>
        <w:tc>
          <w:tcPr>
            <w:tcW w:w="1984" w:type="dxa"/>
            <w:vAlign w:val="center"/>
          </w:tcPr>
          <w:p>
            <w:pPr>
              <w:pStyle w:val="0"/>
              <w:jc w:val="center"/>
            </w:pPr>
            <w:r>
              <w:rPr>
                <w:sz w:val="20"/>
              </w:rPr>
              <w:t xml:space="preserve">Ведомственный мониторинг</w:t>
            </w:r>
          </w:p>
        </w:tc>
        <w:tc>
          <w:tcPr>
            <w:tcW w:w="1714" w:type="dxa"/>
            <w:vAlign w:val="center"/>
          </w:tcPr>
          <w:p>
            <w:pPr>
              <w:pStyle w:val="0"/>
              <w:jc w:val="center"/>
            </w:pPr>
            <w:r>
              <w:rPr>
                <w:sz w:val="20"/>
              </w:rPr>
              <w:t xml:space="preserve">Ежегодно до 10 февраля года, следующего за отчетным</w:t>
            </w:r>
          </w:p>
        </w:tc>
      </w:tr>
      <w:tr>
        <w:tc>
          <w:tcPr>
            <w:gridSpan w:val="6"/>
            <w:tcW w:w="11390" w:type="dxa"/>
            <w:vAlign w:val="center"/>
          </w:tcPr>
          <w:p>
            <w:pPr>
              <w:pStyle w:val="0"/>
              <w:outlineLvl w:val="3"/>
              <w:jc w:val="center"/>
            </w:pPr>
            <w:r>
              <w:rPr>
                <w:sz w:val="20"/>
              </w:rPr>
              <w:t xml:space="preserve">Подпрограмма 7 "Обращение с твердыми коммунальными отходами на территории Белгородской области"</w:t>
            </w:r>
          </w:p>
        </w:tc>
      </w:tr>
      <w:tr>
        <w:tc>
          <w:tcPr>
            <w:tcW w:w="567" w:type="dxa"/>
            <w:vAlign w:val="center"/>
          </w:tcPr>
          <w:p>
            <w:pPr>
              <w:pStyle w:val="0"/>
              <w:jc w:val="center"/>
            </w:pPr>
            <w:r>
              <w:rPr>
                <w:sz w:val="20"/>
              </w:rPr>
              <w:t xml:space="preserve">14</w:t>
            </w:r>
          </w:p>
        </w:tc>
        <w:tc>
          <w:tcPr>
            <w:tcW w:w="2134" w:type="dxa"/>
            <w:vAlign w:val="center"/>
          </w:tcPr>
          <w:p>
            <w:pPr>
              <w:pStyle w:val="0"/>
              <w:jc w:val="center"/>
            </w:pPr>
            <w:r>
              <w:rPr>
                <w:sz w:val="20"/>
              </w:rPr>
              <w:t xml:space="preserve">Доля обработанных твердых коммунальных отходов в общем объеме твердых коммунальных отходов</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X x 100% / Y, где:</w:t>
            </w:r>
          </w:p>
          <w:p>
            <w:pPr>
              <w:pStyle w:val="0"/>
              <w:jc w:val="center"/>
            </w:pPr>
            <w:r>
              <w:rPr>
                <w:sz w:val="20"/>
              </w:rPr>
              <w:t xml:space="preserve">X - количество обрабатываемых твердых коммунальных отходов, тонн/год,</w:t>
            </w:r>
          </w:p>
          <w:p>
            <w:pPr>
              <w:pStyle w:val="0"/>
              <w:jc w:val="center"/>
            </w:pPr>
            <w:r>
              <w:rPr>
                <w:sz w:val="20"/>
              </w:rPr>
              <w:t xml:space="preserve">Y - общее количество твердых коммунальных отходов, тонн/год</w:t>
            </w:r>
          </w:p>
        </w:tc>
        <w:tc>
          <w:tcPr>
            <w:tcW w:w="1984" w:type="dxa"/>
            <w:vAlign w:val="center"/>
          </w:tcPr>
          <w:p>
            <w:pPr>
              <w:pStyle w:val="0"/>
              <w:jc w:val="center"/>
            </w:pPr>
            <w:r>
              <w:rPr>
                <w:sz w:val="20"/>
              </w:rPr>
              <w:t xml:space="preserve">Статистическая информация</w:t>
            </w:r>
          </w:p>
        </w:tc>
        <w:tc>
          <w:tcPr>
            <w:tcW w:w="1714" w:type="dxa"/>
            <w:vAlign w:val="center"/>
          </w:tcPr>
          <w:p>
            <w:pPr>
              <w:pStyle w:val="0"/>
              <w:jc w:val="center"/>
            </w:pPr>
            <w:r>
              <w:rPr>
                <w:sz w:val="20"/>
              </w:rPr>
              <w:t xml:space="preserve">Ежегодно до 31 января года, следующего за отчетным</w:t>
            </w:r>
          </w:p>
        </w:tc>
      </w:tr>
      <w:tr>
        <w:tc>
          <w:tcPr>
            <w:tcW w:w="567" w:type="dxa"/>
            <w:vAlign w:val="center"/>
          </w:tcPr>
          <w:p>
            <w:pPr>
              <w:pStyle w:val="0"/>
              <w:jc w:val="center"/>
            </w:pPr>
            <w:r>
              <w:rPr>
                <w:sz w:val="20"/>
              </w:rPr>
              <w:t xml:space="preserve">15</w:t>
            </w:r>
          </w:p>
        </w:tc>
        <w:tc>
          <w:tcPr>
            <w:tcW w:w="2134" w:type="dxa"/>
            <w:vAlign w:val="center"/>
          </w:tcPr>
          <w:p>
            <w:pPr>
              <w:pStyle w:val="0"/>
              <w:jc w:val="center"/>
            </w:pPr>
            <w:r>
              <w:rPr>
                <w:sz w:val="20"/>
              </w:rPr>
              <w:t xml:space="preserve">Доля охвата потребителей услугой по обращению с твердыми коммунальными отходами</w:t>
            </w:r>
          </w:p>
        </w:tc>
        <w:tc>
          <w:tcPr>
            <w:tcW w:w="1249" w:type="dxa"/>
            <w:vAlign w:val="center"/>
          </w:tcPr>
          <w:p>
            <w:pPr>
              <w:pStyle w:val="0"/>
              <w:jc w:val="center"/>
            </w:pPr>
            <w:r>
              <w:rPr>
                <w:sz w:val="20"/>
              </w:rPr>
              <w:t xml:space="preserve">Процентов</w:t>
            </w:r>
          </w:p>
        </w:tc>
        <w:tc>
          <w:tcPr>
            <w:tcW w:w="3742" w:type="dxa"/>
            <w:vAlign w:val="center"/>
          </w:tcPr>
          <w:p>
            <w:pPr>
              <w:pStyle w:val="0"/>
              <w:jc w:val="center"/>
            </w:pPr>
            <w:r>
              <w:rPr>
                <w:sz w:val="20"/>
              </w:rPr>
              <w:t xml:space="preserve">X x 100% / Y, где:</w:t>
            </w:r>
          </w:p>
          <w:p>
            <w:pPr>
              <w:pStyle w:val="0"/>
              <w:jc w:val="center"/>
            </w:pPr>
            <w:r>
              <w:rPr>
                <w:sz w:val="20"/>
              </w:rPr>
              <w:t xml:space="preserve">X - охват потребителей услугой по обращению с твердыми коммунальными отходами, чел.,</w:t>
            </w:r>
          </w:p>
          <w:p>
            <w:pPr>
              <w:pStyle w:val="0"/>
              <w:jc w:val="center"/>
            </w:pPr>
            <w:r>
              <w:rPr>
                <w:sz w:val="20"/>
              </w:rPr>
              <w:t xml:space="preserve">Y - количество человек, проживающих на территории области, чел.</w:t>
            </w:r>
          </w:p>
        </w:tc>
        <w:tc>
          <w:tcPr>
            <w:tcW w:w="1984" w:type="dxa"/>
            <w:vAlign w:val="center"/>
          </w:tcPr>
          <w:p>
            <w:pPr>
              <w:pStyle w:val="0"/>
              <w:jc w:val="center"/>
            </w:pPr>
            <w:r>
              <w:rPr>
                <w:sz w:val="20"/>
              </w:rPr>
              <w:t xml:space="preserve">Статистическая информация</w:t>
            </w:r>
          </w:p>
        </w:tc>
        <w:tc>
          <w:tcPr>
            <w:tcW w:w="1714" w:type="dxa"/>
            <w:vAlign w:val="center"/>
          </w:tcPr>
          <w:p>
            <w:pPr>
              <w:pStyle w:val="0"/>
              <w:jc w:val="center"/>
            </w:pPr>
            <w:r>
              <w:rPr>
                <w:sz w:val="20"/>
              </w:rPr>
              <w:t xml:space="preserve">Ежегодно до 31 января года, следующего за отчетным</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7</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10362" w:name="P10362"/>
    <w:bookmarkEnd w:id="10362"/>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мероприятия в области использования и охраны</w:t>
      </w:r>
    </w:p>
    <w:p>
      <w:pPr>
        <w:pStyle w:val="2"/>
        <w:jc w:val="center"/>
      </w:pPr>
      <w:r>
        <w:rPr>
          <w:sz w:val="20"/>
        </w:rPr>
        <w:t xml:space="preserve">водных объектов (капитальный ремонт гидротехнических</w:t>
      </w:r>
    </w:p>
    <w:p>
      <w:pPr>
        <w:pStyle w:val="2"/>
        <w:jc w:val="center"/>
      </w:pPr>
      <w:r>
        <w:rPr>
          <w:sz w:val="20"/>
        </w:rPr>
        <w:t xml:space="preserve">сооружений, находящихся в муниципальной собственности,</w:t>
      </w:r>
    </w:p>
    <w:p>
      <w:pPr>
        <w:pStyle w:val="2"/>
        <w:jc w:val="center"/>
      </w:pPr>
      <w:r>
        <w:rPr>
          <w:sz w:val="20"/>
        </w:rPr>
        <w:t xml:space="preserve">и бесхозяйных гидротехнических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18"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20.07.2020 N 326-пп;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22.03.2021 </w:t>
            </w:r>
            <w:hyperlink w:history="0" r:id="rId219"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17.01.2022 </w:t>
            </w:r>
            <w:hyperlink w:history="0" r:id="rId220"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выполнение мероприятий по капитальному ремонту гидротехнических сооружений, находящихся в муниципальной собственности, и бесхозяйных гидротехнических сооружений в рамках реализации подпрограммы "Развитие водохозяйственного комплекса"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p>
      <w:pPr>
        <w:pStyle w:val="0"/>
        <w:jc w:val="both"/>
      </w:pPr>
      <w:r>
        <w:rPr>
          <w:sz w:val="20"/>
        </w:rPr>
        <w:t xml:space="preserve">(п. 1 в ред. </w:t>
      </w:r>
      <w:hyperlink w:history="0" r:id="rId221"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bookmarkStart w:id="10377" w:name="P10377"/>
    <w:bookmarkEnd w:id="10377"/>
    <w:p>
      <w:pPr>
        <w:pStyle w:val="0"/>
        <w:spacing w:before="200" w:line-rule="auto"/>
        <w:ind w:firstLine="540"/>
        <w:jc w:val="both"/>
      </w:pPr>
      <w:r>
        <w:rPr>
          <w:sz w:val="20"/>
        </w:rPr>
        <w:t xml:space="preserve">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муниципальной собственности, и бесхозяйных гидротехнических сооружений.</w:t>
      </w:r>
    </w:p>
    <w:p>
      <w:pPr>
        <w:pStyle w:val="0"/>
        <w:jc w:val="both"/>
      </w:pPr>
      <w:r>
        <w:rPr>
          <w:sz w:val="20"/>
        </w:rPr>
        <w:t xml:space="preserve">(в ред. </w:t>
      </w:r>
      <w:hyperlink w:history="0" r:id="rId222"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3. Субсидии предоставляются бюджетам муниципальных образований на следующих условиях:</w:t>
      </w:r>
    </w:p>
    <w:p>
      <w:pPr>
        <w:pStyle w:val="0"/>
        <w:spacing w:before="200" w:line-rule="auto"/>
        <w:ind w:firstLine="540"/>
        <w:jc w:val="both"/>
      </w:pPr>
      <w:r>
        <w:rPr>
          <w:sz w:val="20"/>
        </w:rPr>
        <w:t xml:space="preserve">а) наличие муниципальных программ (подпрограмм), предусматривающих реализацию мероприятий по капитальному ремонту гидротехнических сооружений, находящихся в муниципальной собственности, и бесхозяйных гидротехнических сооружений, указанных в </w:t>
      </w:r>
      <w:hyperlink w:history="0" w:anchor="P10377"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
        <w:r>
          <w:rPr>
            <w:sz w:val="20"/>
            <w:color w:val="0000ff"/>
          </w:rPr>
          <w:t xml:space="preserve">пункте 2</w:t>
        </w:r>
      </w:hyperlink>
      <w:r>
        <w:rPr>
          <w:sz w:val="20"/>
        </w:rPr>
        <w:t xml:space="preserve"> Порядка (с перечнем мероприятий, на софинансирование которых осуществляется предоставление субсидии);</w:t>
      </w:r>
    </w:p>
    <w:p>
      <w:pPr>
        <w:pStyle w:val="0"/>
        <w:spacing w:before="200" w:line-rule="auto"/>
        <w:ind w:firstLine="540"/>
        <w:jc w:val="both"/>
      </w:pPr>
      <w:r>
        <w:rPr>
          <w:sz w:val="20"/>
        </w:rPr>
        <w:t xml:space="preserve">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размере не менее 5 процентов для муниципальных образований, в отношении которых утверждено распределение дотаций на выравнивание бюджетной обеспеченности муниципальных районов (городских округов), и до 10 процентов для иных муниципальных образований от общего объема софинансирования субъекта Российской Федерации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pPr>
        <w:pStyle w:val="0"/>
        <w:spacing w:before="200" w:line-rule="auto"/>
        <w:ind w:firstLine="540"/>
        <w:jc w:val="both"/>
      </w:pPr>
      <w:r>
        <w:rPr>
          <w:sz w:val="20"/>
        </w:rPr>
        <w:t xml:space="preserve">в) возврат муниципальными образованиями средств в областной бюджет в соответствии с </w:t>
      </w:r>
      <w:hyperlink w:history="0" w:anchor="P10434" w:tooltip="16.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16</w:t>
        </w:r>
      </w:hyperlink>
      <w:r>
        <w:rPr>
          <w:sz w:val="20"/>
        </w:rPr>
        <w:t xml:space="preserve"> Порядка.</w:t>
      </w:r>
    </w:p>
    <w:p>
      <w:pPr>
        <w:pStyle w:val="0"/>
        <w:spacing w:before="200" w:line-rule="auto"/>
        <w:ind w:firstLine="540"/>
        <w:jc w:val="both"/>
      </w:pPr>
      <w:r>
        <w:rPr>
          <w:sz w:val="20"/>
        </w:rPr>
        <w:t xml:space="preserve">В первоочередном порядке субсидии предоставляются муниципальным образованиям, на территории которых находятся объекты незавершенного капитального ремонта, начатого за счет бюджетных средств в рамках подпрограммы.</w:t>
      </w:r>
    </w:p>
    <w:bookmarkStart w:id="10384" w:name="P10384"/>
    <w:bookmarkEnd w:id="10384"/>
    <w:p>
      <w:pPr>
        <w:pStyle w:val="0"/>
        <w:spacing w:before="200" w:line-rule="auto"/>
        <w:ind w:firstLine="540"/>
        <w:jc w:val="both"/>
      </w:pPr>
      <w:r>
        <w:rPr>
          <w:sz w:val="20"/>
        </w:rPr>
        <w:t xml:space="preserve">4. Муниципальные образования, бюджетам которых предоставляются субсидии на софинансирование мероприятий, указанных в </w:t>
      </w:r>
      <w:hyperlink w:history="0" w:anchor="P10377"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
        <w:r>
          <w:rPr>
            <w:sz w:val="20"/>
            <w:color w:val="0000ff"/>
          </w:rPr>
          <w:t xml:space="preserve">пункте 2</w:t>
        </w:r>
      </w:hyperlink>
      <w:r>
        <w:rPr>
          <w:sz w:val="20"/>
        </w:rPr>
        <w:t xml:space="preserve"> Порядка, должны отвечать следующим критериям:</w:t>
      </w:r>
    </w:p>
    <w:p>
      <w:pPr>
        <w:pStyle w:val="0"/>
        <w:spacing w:before="200" w:line-rule="auto"/>
        <w:ind w:firstLine="540"/>
        <w:jc w:val="both"/>
      </w:pPr>
      <w:r>
        <w:rPr>
          <w:sz w:val="20"/>
        </w:rPr>
        <w:t xml:space="preserve">а) наличие акта обследования, оформленного в год, предшествующий разработке проектно-сметной документации, на объект, подлежащий капитальному ремонту;</w:t>
      </w:r>
    </w:p>
    <w:p>
      <w:pPr>
        <w:pStyle w:val="0"/>
        <w:spacing w:before="200" w:line-rule="auto"/>
        <w:ind w:firstLine="540"/>
        <w:jc w:val="both"/>
      </w:pPr>
      <w:r>
        <w:rPr>
          <w:sz w:val="20"/>
        </w:rPr>
        <w:t xml:space="preserve">б) наличие дефектной ведомости, оформленной в год разработки проектно-сметной документации, на объект, подлежащий капитальному ремонту;</w:t>
      </w:r>
    </w:p>
    <w:p>
      <w:pPr>
        <w:pStyle w:val="0"/>
        <w:spacing w:before="200" w:line-rule="auto"/>
        <w:ind w:firstLine="540"/>
        <w:jc w:val="both"/>
      </w:pPr>
      <w:r>
        <w:rPr>
          <w:sz w:val="20"/>
        </w:rPr>
        <w:t xml:space="preserve">в) наличие выписки из реестра имущества муниципального образования об объекте, подлежащем капитальному ремонту (по бесхозяйным гидротехническим сооружениям представляются выписки из Единого государственного реестра прав на недвижимое имущество и сделок с ним о постановке объекта в качестве бесхозяйного на учет органом, осуществляющим государственную регистрацию прав на недвижимое имущество, по заявлению органа местного самоуправления, на территории которого они находятся), полученной в год, предшествующий разработке проектно-сметной документации;</w:t>
      </w:r>
    </w:p>
    <w:p>
      <w:pPr>
        <w:pStyle w:val="0"/>
        <w:spacing w:before="200" w:line-rule="auto"/>
        <w:ind w:firstLine="540"/>
        <w:jc w:val="both"/>
      </w:pPr>
      <w:r>
        <w:rPr>
          <w:sz w:val="20"/>
        </w:rPr>
        <w:t xml:space="preserve">г) наличие гидротехнического сооружения в Перечне требующих капитального ремонта гидротехнических сооружений, находящихся в муниципальной собственности, и бесхозяйных гидротехнических сооружений, утвержденном главным распорядителем средств областного бюджета совместно с заинтересованными федеральными органами исполнительной власти;</w:t>
      </w:r>
    </w:p>
    <w:p>
      <w:pPr>
        <w:pStyle w:val="0"/>
        <w:jc w:val="both"/>
      </w:pPr>
      <w:r>
        <w:rPr>
          <w:sz w:val="20"/>
        </w:rPr>
        <w:t xml:space="preserve">(пп. "г" в ред. </w:t>
      </w:r>
      <w:hyperlink w:history="0" r:id="rId223"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д) наличие утвержденной в установленном порядке проектной документации, в том числе наличие сводных сметных расчетов стоимости капитального ремонта, положительного заключения государственной экспертизы проектно-сметной документации.</w:t>
      </w:r>
    </w:p>
    <w:p>
      <w:pPr>
        <w:pStyle w:val="0"/>
        <w:spacing w:before="200" w:line-rule="auto"/>
        <w:ind w:firstLine="540"/>
        <w:jc w:val="both"/>
      </w:pPr>
      <w:r>
        <w:rPr>
          <w:sz w:val="20"/>
        </w:rPr>
        <w:t xml:space="preserve">5. Объем субсидии, предоставляемой бюджету муниципального образования на осуществление мероприятия, указанного в </w:t>
      </w:r>
      <w:hyperlink w:history="0" w:anchor="P10377"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
        <w:r>
          <w:rPr>
            <w:sz w:val="20"/>
            <w:color w:val="0000ff"/>
          </w:rPr>
          <w:t xml:space="preserve">пункте 2</w:t>
        </w:r>
      </w:hyperlink>
      <w:r>
        <w:rPr>
          <w:sz w:val="20"/>
        </w:rPr>
        <w:t xml:space="preserve"> Порядка, определяется по следующей формуле:</w:t>
      </w:r>
    </w:p>
    <w:p>
      <w:pPr>
        <w:pStyle w:val="0"/>
        <w:ind w:firstLine="540"/>
        <w:jc w:val="both"/>
      </w:pPr>
      <w:r>
        <w:rPr>
          <w:sz w:val="20"/>
        </w:rPr>
      </w:r>
    </w:p>
    <w:p>
      <w:pPr>
        <w:pStyle w:val="0"/>
        <w:jc w:val="center"/>
      </w:pPr>
      <w:r>
        <w:rPr>
          <w:position w:val="-17"/>
        </w:rPr>
        <w:drawing>
          <wp:inline distT="0" distB="0" distL="0" distR="0">
            <wp:extent cx="723900" cy="3524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a:extLst>
                        <a:ext uri="{28A0092B-C50C-407E-A947-70E740481C1C}">
                          <a14:useLocalDpi xmlns:a14="http://schemas.microsoft.com/office/drawing/2010/main" val="0"/>
                        </a:ext>
                      </a:extLst>
                    </a:blip>
                    <a:srcRect/>
                    <a:stretch>
                      <a:fillRect/>
                    </a:stretch>
                  </pic:blipFill>
                  <pic:spPr bwMode="auto">
                    <a:xfrm>
                      <a:off x="0" y="0"/>
                      <a:ext cx="723900" cy="352425"/>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Сj - размер субсидии в соответствующем году на j-й объект (субсидии за счет средств федерального бюджета (Сfj) и субсидии за счет средств областного бюджета (Сoj)).</w:t>
      </w:r>
    </w:p>
    <w:p>
      <w:pPr>
        <w:pStyle w:val="0"/>
        <w:spacing w:before="200" w:line-rule="auto"/>
        <w:ind w:firstLine="540"/>
        <w:jc w:val="both"/>
      </w:pPr>
      <w:r>
        <w:rPr>
          <w:sz w:val="20"/>
        </w:rPr>
        <w:t xml:space="preserve">Сj определяется по формуле:</w:t>
      </w:r>
    </w:p>
    <w:p>
      <w:pPr>
        <w:pStyle w:val="0"/>
        <w:ind w:firstLine="540"/>
        <w:jc w:val="both"/>
      </w:pPr>
      <w:r>
        <w:rPr>
          <w:sz w:val="20"/>
        </w:rPr>
      </w:r>
    </w:p>
    <w:p>
      <w:pPr>
        <w:pStyle w:val="0"/>
        <w:jc w:val="center"/>
      </w:pPr>
      <w:r>
        <w:rPr>
          <w:sz w:val="20"/>
        </w:rPr>
        <w:t xml:space="preserve">Сj = ОПj - Смj,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в i-м муниципальном образовании Белгородской области;</w:t>
      </w:r>
    </w:p>
    <w:p>
      <w:pPr>
        <w:pStyle w:val="0"/>
        <w:jc w:val="both"/>
      </w:pPr>
      <w:r>
        <w:rPr>
          <w:sz w:val="20"/>
        </w:rPr>
        <w:t xml:space="preserve">(в ред. </w:t>
      </w:r>
      <w:hyperlink w:history="0" r:id="rId225"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Смj - объем средств бюджета муниципального образования Белгородской области, предусматриваемых на мероприятия в области использования и охраны водных объектов (капитальный ремонт гидротехнических сооружений, находящихся в муниципальной собственности, и бесхозяйных гидротехнических сооружений) в i-м муниципальном образовании Белгородской области.</w:t>
      </w:r>
    </w:p>
    <w:p>
      <w:pPr>
        <w:pStyle w:val="0"/>
        <w:jc w:val="both"/>
      </w:pPr>
      <w:r>
        <w:rPr>
          <w:sz w:val="20"/>
        </w:rPr>
        <w:t xml:space="preserve">(в ред. </w:t>
      </w:r>
      <w:hyperlink w:history="0" r:id="rId226"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bookmarkStart w:id="10406" w:name="P10406"/>
    <w:bookmarkEnd w:id="10406"/>
    <w:p>
      <w:pPr>
        <w:pStyle w:val="0"/>
        <w:spacing w:before="200" w:line-rule="auto"/>
        <w:ind w:firstLine="540"/>
        <w:jc w:val="both"/>
      </w:pPr>
      <w:r>
        <w:rPr>
          <w:sz w:val="20"/>
        </w:rPr>
        <w:t xml:space="preserve">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марта года, предшествующего очередному финансовому году, и подлежат рассмотрению до даты представления обосновывающих материалов в Федеральное агентство водных ресурсов, установленной приказом Федерального агентства водных ресурсов.</w:t>
      </w:r>
    </w:p>
    <w:p>
      <w:pPr>
        <w:pStyle w:val="0"/>
        <w:spacing w:before="200" w:line-rule="auto"/>
        <w:ind w:firstLine="540"/>
        <w:jc w:val="both"/>
      </w:pPr>
      <w:r>
        <w:rPr>
          <w:sz w:val="20"/>
        </w:rPr>
        <w:t xml:space="preserve">7. Распределение субсидий между муниципальными образованиями и изменения, связанные с перераспределением (сокращением) субсидии, утверждается законом об областном бюджете на текущий финансовый год и на плановый период.</w:t>
      </w:r>
    </w:p>
    <w:bookmarkStart w:id="10408" w:name="P10408"/>
    <w:bookmarkEnd w:id="10408"/>
    <w:p>
      <w:pPr>
        <w:pStyle w:val="0"/>
        <w:spacing w:before="200" w:line-rule="auto"/>
        <w:ind w:firstLine="540"/>
        <w:jc w:val="both"/>
      </w:pPr>
      <w:r>
        <w:rPr>
          <w:sz w:val="20"/>
        </w:rPr>
        <w:t xml:space="preserve">8.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bookmarkStart w:id="10410" w:name="P10410"/>
    <w:bookmarkEnd w:id="10410"/>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pPr>
        <w:pStyle w:val="0"/>
        <w:spacing w:before="200" w:line-rule="auto"/>
        <w:ind w:firstLine="540"/>
        <w:jc w:val="both"/>
      </w:pPr>
      <w:r>
        <w:rPr>
          <w:sz w:val="20"/>
        </w:rP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pPr>
        <w:pStyle w:val="0"/>
        <w:spacing w:before="200" w:line-rule="auto"/>
        <w:ind w:firstLine="540"/>
        <w:jc w:val="both"/>
      </w:pPr>
      <w:r>
        <w:rPr>
          <w:sz w:val="20"/>
        </w:rPr>
        <w:t xml:space="preserve">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pPr>
        <w:pStyle w:val="0"/>
        <w:spacing w:before="200" w:line-rule="auto"/>
        <w:ind w:firstLine="540"/>
        <w:jc w:val="both"/>
      </w:pPr>
      <w:r>
        <w:rPr>
          <w:sz w:val="20"/>
        </w:rPr>
        <w:t xml:space="preserve">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pPr>
        <w:pStyle w:val="0"/>
        <w:spacing w:before="200" w:line-rule="auto"/>
        <w:ind w:firstLine="540"/>
        <w:jc w:val="both"/>
      </w:pPr>
      <w:r>
        <w:rPr>
          <w:sz w:val="20"/>
        </w:rPr>
        <w:t xml:space="preserve">е) порядок осуществления контроля за соблюдением муниципальным образованием обязательств, предусмотренных соглашением;</w:t>
      </w:r>
    </w:p>
    <w:p>
      <w:pPr>
        <w:pStyle w:val="0"/>
        <w:spacing w:before="200" w:line-rule="auto"/>
        <w:ind w:firstLine="540"/>
        <w:jc w:val="both"/>
      </w:pPr>
      <w:r>
        <w:rPr>
          <w:sz w:val="20"/>
        </w:rPr>
        <w:t xml:space="preserve">ж) последствия недостижения муниципальным образованием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з) ответственность сторон за нарушение условий соглашения;</w:t>
      </w:r>
    </w:p>
    <w:p>
      <w:pPr>
        <w:pStyle w:val="0"/>
        <w:spacing w:before="200" w:line-rule="auto"/>
        <w:ind w:firstLine="540"/>
        <w:jc w:val="both"/>
      </w:pPr>
      <w:r>
        <w:rPr>
          <w:sz w:val="20"/>
        </w:rPr>
        <w:t xml:space="preserve">и) иные условия, определяемые по соглашению сторон, регулирующему порядок предоставления субсидий;</w:t>
      </w:r>
    </w:p>
    <w:p>
      <w:pPr>
        <w:pStyle w:val="0"/>
        <w:spacing w:before="200" w:line-rule="auto"/>
        <w:ind w:firstLine="540"/>
        <w:jc w:val="both"/>
      </w:pPr>
      <w:r>
        <w:rPr>
          <w:sz w:val="20"/>
        </w:rPr>
        <w:t xml:space="preserve">к) условие о вступлении в силу соглашения.</w:t>
      </w:r>
    </w:p>
    <w:p>
      <w:pPr>
        <w:pStyle w:val="0"/>
        <w:spacing w:before="200" w:line-rule="auto"/>
        <w:ind w:firstLine="540"/>
        <w:jc w:val="both"/>
      </w:pPr>
      <w:r>
        <w:rPr>
          <w:sz w:val="20"/>
        </w:rPr>
        <w:t xml:space="preserve">9. Соглашение, указанное в </w:t>
      </w:r>
      <w:hyperlink w:history="0" w:anchor="P10408" w:tooltip="8.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
        <w:r>
          <w:rPr>
            <w:sz w:val="20"/>
            <w:color w:val="0000ff"/>
          </w:rPr>
          <w:t xml:space="preserve">пункте 8</w:t>
        </w:r>
      </w:hyperlink>
      <w:r>
        <w:rPr>
          <w:sz w:val="20"/>
        </w:rPr>
        <w:t xml:space="preserve"> Порядка, подготавливается (формируется) и заключается в государственной интегрированной информационной системе управления общественными финансами "Электронный бюджет".</w:t>
      </w:r>
    </w:p>
    <w:p>
      <w:pPr>
        <w:pStyle w:val="0"/>
        <w:spacing w:before="200" w:line-rule="auto"/>
        <w:ind w:firstLine="540"/>
        <w:jc w:val="both"/>
      </w:pPr>
      <w:r>
        <w:rPr>
          <w:sz w:val="20"/>
        </w:rPr>
        <w:t xml:space="preserve">Типовая форма соглашения и дополнительного соглашения, предусматривающая внесение в него изменений и его расторжение, размещена в государственной интегрированной информационной системе управления общественными финансами "Электронный бюджет". Соглашение и дополнительные соглашения, предусматривающие внесение в него изменений или его расторжение, заключаются в соответствии с указанными типовыми формами соглашения, утвержденными Министерством финансов Российской Федерации.</w:t>
      </w:r>
    </w:p>
    <w:p>
      <w:pPr>
        <w:pStyle w:val="0"/>
        <w:spacing w:before="200" w:line-rule="auto"/>
        <w:ind w:firstLine="540"/>
        <w:jc w:val="both"/>
      </w:pPr>
      <w:r>
        <w:rPr>
          <w:sz w:val="20"/>
        </w:rPr>
        <w:t xml:space="preserve">10. 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программы, а также в случае существенного (более чем на 20 процентов) сокращения размера субсидии.</w:t>
      </w:r>
    </w:p>
    <w:p>
      <w:pPr>
        <w:pStyle w:val="0"/>
        <w:spacing w:before="200" w:line-rule="auto"/>
        <w:ind w:firstLine="540"/>
        <w:jc w:val="both"/>
      </w:pPr>
      <w:r>
        <w:rPr>
          <w:sz w:val="20"/>
        </w:rPr>
        <w:t xml:space="preserve">11. Перечисление субсидий из областного бюджета в бюджет муниципального образования осуществляется на единый счет бюджета муниципального образования, открытый в Управлении Федерального казначейства по Белгородской области.</w:t>
      </w:r>
    </w:p>
    <w:p>
      <w:pPr>
        <w:pStyle w:val="0"/>
        <w:jc w:val="both"/>
      </w:pPr>
      <w:r>
        <w:rPr>
          <w:sz w:val="20"/>
        </w:rPr>
        <w:t xml:space="preserve">(п. 11 в ред. </w:t>
      </w:r>
      <w:hyperlink w:history="0" r:id="rId227"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12. Перечисление средств субсидии в бюджет муниципального образования на реализацию мероприятий, указанных в </w:t>
      </w:r>
      <w:hyperlink w:history="0" w:anchor="P10377"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
        <w:r>
          <w:rPr>
            <w:sz w:val="20"/>
            <w:color w:val="0000ff"/>
          </w:rPr>
          <w:t xml:space="preserve">пункте 2</w:t>
        </w:r>
      </w:hyperlink>
      <w:r>
        <w:rPr>
          <w:sz w:val="20"/>
        </w:rP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pPr>
        <w:pStyle w:val="0"/>
        <w:spacing w:before="200" w:line-rule="auto"/>
        <w:ind w:firstLine="540"/>
        <w:jc w:val="both"/>
      </w:pPr>
      <w:r>
        <w:rPr>
          <w:sz w:val="20"/>
        </w:rPr>
        <w:t xml:space="preserve">13.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pPr>
        <w:pStyle w:val="0"/>
        <w:spacing w:before="200" w:line-rule="auto"/>
        <w:ind w:firstLine="540"/>
        <w:jc w:val="both"/>
      </w:pPr>
      <w:r>
        <w:rPr>
          <w:sz w:val="20"/>
        </w:rPr>
        <w:t xml:space="preserve">14. Муниципальное образование предоставляет главному распорядителю средств областного бюджета:</w:t>
      </w:r>
    </w:p>
    <w:p>
      <w:pPr>
        <w:pStyle w:val="0"/>
        <w:spacing w:before="200" w:line-rule="auto"/>
        <w:ind w:firstLine="540"/>
        <w:jc w:val="both"/>
      </w:pPr>
      <w:r>
        <w:rPr>
          <w:sz w:val="20"/>
        </w:rPr>
        <w:t xml:space="preserve">а) документы, указанные в </w:t>
      </w:r>
      <w:hyperlink w:history="0" w:anchor="P10384" w:tooltip="4. Муниципальные образования, бюджетам которых предоставляются субсидии на софинансирование мероприятий, указанных в пункте 2 Порядка, должны отвечать следующим критериям:">
        <w:r>
          <w:rPr>
            <w:sz w:val="20"/>
            <w:color w:val="0000ff"/>
          </w:rPr>
          <w:t xml:space="preserve">пункте 4</w:t>
        </w:r>
      </w:hyperlink>
      <w:r>
        <w:rPr>
          <w:sz w:val="20"/>
        </w:rPr>
        <w:t xml:space="preserve"> Порядка, в срок, установленный в </w:t>
      </w:r>
      <w:hyperlink w:history="0" w:anchor="P10406" w:tooltip="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марта года, предшествующего очередному финансовому году, и подлежат рассмотрению до даты представления обосновывающих материалов в Федеральное агентство водных ресурсов, установленной приказом Федерального агентства водных ресурсов.">
        <w:r>
          <w:rPr>
            <w:sz w:val="20"/>
            <w:color w:val="0000ff"/>
          </w:rPr>
          <w:t xml:space="preserve">пункте 6</w:t>
        </w:r>
      </w:hyperlink>
      <w:r>
        <w:rPr>
          <w:sz w:val="20"/>
        </w:rPr>
        <w:t xml:space="preserve"> Порядка;</w:t>
      </w:r>
    </w:p>
    <w:p>
      <w:pPr>
        <w:pStyle w:val="0"/>
        <w:spacing w:before="200" w:line-rule="auto"/>
        <w:ind w:firstLine="540"/>
        <w:jc w:val="both"/>
      </w:pPr>
      <w:r>
        <w:rPr>
          <w:sz w:val="20"/>
        </w:rPr>
        <w:t xml:space="preserve">б)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history="0" w:anchor="P10377"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
        <w:r>
          <w:rPr>
            <w:sz w:val="20"/>
            <w:color w:val="0000ff"/>
          </w:rPr>
          <w:t xml:space="preserve">пункте 2</w:t>
        </w:r>
      </w:hyperlink>
      <w:r>
        <w:rPr>
          <w:sz w:val="20"/>
        </w:rPr>
        <w:t xml:space="preserve"> Порядка, - не позднее 31 декабря года, предшествующего году предоставления субсидии;</w:t>
      </w:r>
    </w:p>
    <w:p>
      <w:pPr>
        <w:pStyle w:val="0"/>
        <w:spacing w:before="200" w:line-rule="auto"/>
        <w:ind w:firstLine="540"/>
        <w:jc w:val="both"/>
      </w:pPr>
      <w:r>
        <w:rPr>
          <w:sz w:val="20"/>
        </w:rPr>
        <w:t xml:space="preserve">в) муниципальную программу (подпрограмму), предусматривающую реализацию мероприятий по капитальному ремонту гидротехнических сооружений, - не позднее 31 декабря года, предшествующего году предоставления субсидии;</w:t>
      </w:r>
    </w:p>
    <w:p>
      <w:pPr>
        <w:pStyle w:val="0"/>
        <w:spacing w:before="200" w:line-rule="auto"/>
        <w:ind w:firstLine="540"/>
        <w:jc w:val="both"/>
      </w:pPr>
      <w:r>
        <w:rPr>
          <w:sz w:val="20"/>
        </w:rPr>
        <w:t xml:space="preserve">г) заявки на перечисление субсидий бюджету муниципального образования на реализацию мероприятий программы (подпрограммы) с приложением документов, подтверждающих фактически выполненные работы, по форме и в сроки, установленные главным распорядителем средств областного бюджета;</w:t>
      </w:r>
    </w:p>
    <w:p>
      <w:pPr>
        <w:pStyle w:val="0"/>
        <w:spacing w:before="200" w:line-rule="auto"/>
        <w:ind w:firstLine="540"/>
        <w:jc w:val="both"/>
      </w:pPr>
      <w:r>
        <w:rPr>
          <w:sz w:val="20"/>
        </w:rPr>
        <w:t xml:space="preserve">д)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w:t>
      </w:r>
    </w:p>
    <w:p>
      <w:pPr>
        <w:pStyle w:val="0"/>
        <w:spacing w:before="200" w:line-rule="auto"/>
        <w:ind w:firstLine="540"/>
        <w:jc w:val="both"/>
      </w:pPr>
      <w:r>
        <w:rPr>
          <w:sz w:val="20"/>
        </w:rPr>
        <w:t xml:space="preserve">е) отчет о расходах бюджетных ассигнований муниципального образования, источником финансового обеспечения которых является субсидия, - ежемесячно до 10 числа месяца, следующего за отчетным месяцем, независимо от проведенных расходов бюджета муниципального образования.</w:t>
      </w:r>
    </w:p>
    <w:p>
      <w:pPr>
        <w:pStyle w:val="0"/>
        <w:spacing w:before="200" w:line-rule="auto"/>
        <w:ind w:firstLine="540"/>
        <w:jc w:val="both"/>
      </w:pPr>
      <w:r>
        <w:rPr>
          <w:sz w:val="20"/>
        </w:rPr>
        <w:t xml:space="preserve">15. Ответственность за достоверность представляемых сведений, целевое и эффективное использование субсидий несут муниципальные образования.</w:t>
      </w:r>
    </w:p>
    <w:bookmarkStart w:id="10434" w:name="P10434"/>
    <w:bookmarkEnd w:id="10434"/>
    <w:p>
      <w:pPr>
        <w:pStyle w:val="0"/>
        <w:spacing w:before="200" w:line-rule="auto"/>
        <w:ind w:firstLine="540"/>
        <w:jc w:val="both"/>
      </w:pPr>
      <w:r>
        <w:rPr>
          <w:sz w:val="20"/>
        </w:rPr>
        <w:t xml:space="preserve">16.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history="0" w:anchor="P10410" w:tooltip="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
        <w:r>
          <w:rPr>
            <w:sz w:val="20"/>
            <w:color w:val="0000ff"/>
          </w:rPr>
          <w:t xml:space="preserve">подпунктом "б" пункта 8</w:t>
        </w:r>
      </w:hyperlink>
      <w:r>
        <w:rPr>
          <w:sz w:val="20"/>
        </w:rP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sz w:val="20"/>
          <w:vertAlign w:val="subscript"/>
        </w:rPr>
        <w:t xml:space="preserve">возврат</w:t>
      </w:r>
      <w:r>
        <w:rPr>
          <w:sz w:val="20"/>
        </w:rPr>
        <w:t xml:space="preserve">), рассчитывается по формуле:</w:t>
      </w:r>
    </w:p>
    <w:p>
      <w:pPr>
        <w:pStyle w:val="0"/>
        <w:ind w:firstLine="540"/>
        <w:jc w:val="both"/>
      </w:pPr>
      <w:r>
        <w:rPr>
          <w:sz w:val="20"/>
        </w:rPr>
      </w:r>
    </w:p>
    <w:p>
      <w:pPr>
        <w:pStyle w:val="0"/>
        <w:jc w:val="center"/>
      </w:pPr>
      <w:r>
        <w:rPr>
          <w:sz w:val="20"/>
        </w:rPr>
        <w:t xml:space="preserve">V</w:t>
      </w:r>
      <w:r>
        <w:rPr>
          <w:sz w:val="20"/>
          <w:vertAlign w:val="subscript"/>
        </w:rPr>
        <w:t xml:space="preserve">возврат</w:t>
      </w:r>
      <w:r>
        <w:rPr>
          <w:sz w:val="20"/>
        </w:rPr>
        <w:t xml:space="preserve"> = (V</w:t>
      </w:r>
      <w:r>
        <w:rPr>
          <w:sz w:val="20"/>
          <w:vertAlign w:val="subscript"/>
        </w:rPr>
        <w:t xml:space="preserve">субсидии</w:t>
      </w:r>
      <w:r>
        <w:rPr>
          <w:sz w:val="20"/>
        </w:rPr>
        <w:t xml:space="preserve"> x k x m / n) x 0,1,</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субсидии</w:t>
      </w:r>
      <w:r>
        <w:rPr>
          <w:sz w:val="20"/>
        </w:rPr>
        <w:t xml:space="preserve"> - размер субсидии, предоставленной бюджету муниципального образования;</w:t>
      </w:r>
    </w:p>
    <w:p>
      <w:pPr>
        <w:pStyle w:val="0"/>
        <w:spacing w:before="200" w:line-rule="auto"/>
        <w:ind w:firstLine="540"/>
        <w:jc w:val="both"/>
      </w:pPr>
      <w:r>
        <w:rPr>
          <w:sz w:val="20"/>
        </w:rPr>
        <w:t xml:space="preserve">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0"/>
        <w:spacing w:before="200" w:line-rule="auto"/>
        <w:ind w:firstLine="540"/>
        <w:jc w:val="both"/>
      </w:pPr>
      <w:r>
        <w:rPr>
          <w:sz w:val="20"/>
        </w:rPr>
        <w:t xml:space="preserve">n - общее количество показателей результативности использования субсидии;</w:t>
      </w:r>
    </w:p>
    <w:p>
      <w:pPr>
        <w:pStyle w:val="0"/>
        <w:spacing w:before="200" w:line-rule="auto"/>
        <w:ind w:firstLine="540"/>
        <w:jc w:val="both"/>
      </w:pPr>
      <w:r>
        <w:rPr>
          <w:sz w:val="20"/>
        </w:rPr>
        <w:t xml:space="preserve">k - коэффициент возврата субсидии.</w:t>
      </w:r>
    </w:p>
    <w:p>
      <w:pPr>
        <w:pStyle w:val="0"/>
        <w:spacing w:before="200" w:line-rule="auto"/>
        <w:ind w:firstLine="540"/>
        <w:jc w:val="both"/>
      </w:pPr>
      <w:r>
        <w:rPr>
          <w:sz w:val="20"/>
        </w:rPr>
        <w:t xml:space="preserve">17. Коэффициент возврата субсидии рассчитывается по формуле:</w:t>
      </w:r>
    </w:p>
    <w:p>
      <w:pPr>
        <w:pStyle w:val="0"/>
        <w:ind w:firstLine="540"/>
        <w:jc w:val="both"/>
      </w:pPr>
      <w:r>
        <w:rPr>
          <w:sz w:val="20"/>
        </w:rPr>
      </w:r>
    </w:p>
    <w:p>
      <w:pPr>
        <w:pStyle w:val="0"/>
        <w:jc w:val="center"/>
      </w:pPr>
      <w:r>
        <w:rPr>
          <w:sz w:val="20"/>
        </w:rPr>
        <w:t xml:space="preserve">k = SUM D</w:t>
      </w:r>
      <w:r>
        <w:rPr>
          <w:sz w:val="20"/>
          <w:vertAlign w:val="subscript"/>
        </w:rPr>
        <w:t xml:space="preserve">i</w:t>
      </w:r>
      <w:r>
        <w:rPr>
          <w:sz w:val="20"/>
        </w:rPr>
        <w:t xml:space="preserve"> / m,</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18. Индекс, отражающий уровень недостижения i-го показателя результативности использования субсидии, определяется:</w:t>
      </w:r>
    </w:p>
    <w:p>
      <w:pPr>
        <w:pStyle w:val="0"/>
        <w:spacing w:before="200" w:line-rule="auto"/>
        <w:ind w:firstLine="540"/>
        <w:jc w:val="both"/>
      </w:pPr>
      <w:r>
        <w:rPr>
          <w:sz w:val="20"/>
        </w:rPr>
        <w:t xml:space="preserve">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Т</w:t>
      </w:r>
      <w:r>
        <w:rPr>
          <w:sz w:val="20"/>
          <w:vertAlign w:val="subscript"/>
        </w:rPr>
        <w:t xml:space="preserve">i</w:t>
      </w:r>
      <w:r>
        <w:rPr>
          <w:sz w:val="20"/>
        </w:rPr>
        <w:t xml:space="preserve"> / S</w:t>
      </w:r>
      <w:r>
        <w:rPr>
          <w:sz w:val="20"/>
          <w:vertAlign w:val="subscript"/>
        </w:rPr>
        <w:t xml:space="preserve">i</w:t>
      </w:r>
      <w:r>
        <w:rPr>
          <w:sz w:val="20"/>
        </w:rPr>
        <w:t xml:space="preserve">,</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T</w:t>
      </w:r>
      <w:r>
        <w:rPr>
          <w:sz w:val="20"/>
          <w:vertAlign w:val="subscript"/>
        </w:rPr>
        <w:t xml:space="preserve">i</w:t>
      </w:r>
      <w:r>
        <w:rPr>
          <w:sz w:val="20"/>
        </w:rPr>
        <w:t xml:space="preserve"> - фактически достигнутое значение i-го показателя результативности использования субсидии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i-го показателя результативности использования субсидии, установленное соглашением;</w:t>
      </w:r>
    </w:p>
    <w:p>
      <w:pPr>
        <w:pStyle w:val="0"/>
        <w:spacing w:before="200" w:line-rule="auto"/>
        <w:ind w:firstLine="540"/>
        <w:jc w:val="both"/>
      </w:pPr>
      <w:r>
        <w:rPr>
          <w:sz w:val="20"/>
        </w:rPr>
        <w:t xml:space="preserve">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S</w:t>
      </w:r>
      <w:r>
        <w:rPr>
          <w:sz w:val="20"/>
          <w:vertAlign w:val="subscript"/>
        </w:rPr>
        <w:t xml:space="preserve">i</w:t>
      </w:r>
      <w:r>
        <w:rPr>
          <w:sz w:val="20"/>
        </w:rPr>
        <w:t xml:space="preserve"> / T</w:t>
      </w:r>
      <w:r>
        <w:rPr>
          <w:sz w:val="20"/>
          <w:vertAlign w:val="subscript"/>
        </w:rPr>
        <w:t xml:space="preserve">i</w:t>
      </w:r>
    </w:p>
    <w:p>
      <w:pPr>
        <w:pStyle w:val="0"/>
        <w:ind w:firstLine="540"/>
        <w:jc w:val="both"/>
      </w:pPr>
      <w:r>
        <w:rPr>
          <w:sz w:val="20"/>
        </w:rPr>
      </w:r>
    </w:p>
    <w:p>
      <w:pPr>
        <w:pStyle w:val="0"/>
        <w:ind w:firstLine="540"/>
        <w:jc w:val="both"/>
      </w:pPr>
      <w:r>
        <w:rPr>
          <w:sz w:val="20"/>
        </w:rPr>
        <w:t xml:space="preserve">19. Основанием для освобождения муниципальных образований от применения мер ответственности, предусмотренных </w:t>
      </w:r>
      <w:hyperlink w:history="0" w:anchor="P10434" w:tooltip="16.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16</w:t>
        </w:r>
      </w:hyperlink>
      <w:r>
        <w:rPr>
          <w:sz w:val="20"/>
        </w:rP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pPr>
        <w:pStyle w:val="0"/>
        <w:spacing w:before="200" w:line-rule="auto"/>
        <w:ind w:firstLine="540"/>
        <w:jc w:val="both"/>
      </w:pPr>
      <w:r>
        <w:rPr>
          <w:sz w:val="20"/>
        </w:rPr>
        <w:t xml:space="preserve">В случае отсутствия оснований для освобождения муниципальных образований от применения мер ответственности, предусмотренных пунктом 16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пунктом 16 Порядка, на иные цели.</w:t>
      </w:r>
    </w:p>
    <w:p>
      <w:pPr>
        <w:pStyle w:val="0"/>
        <w:spacing w:before="200" w:line-rule="auto"/>
        <w:ind w:firstLine="540"/>
        <w:jc w:val="both"/>
      </w:pPr>
      <w:r>
        <w:rPr>
          <w:sz w:val="20"/>
        </w:rPr>
        <w:t xml:space="preserve">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history="0" w:anchor="P10434" w:tooltip="16.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16</w:t>
        </w:r>
      </w:hyperlink>
      <w:r>
        <w:rPr>
          <w:sz w:val="20"/>
        </w:rPr>
        <w:t xml:space="preserve"> Порядка, к нему применяются бюджетные меры принуждения, предусмотренные бюджетным законодательством Российской Федерации.</w:t>
      </w:r>
    </w:p>
    <w:p>
      <w:pPr>
        <w:pStyle w:val="0"/>
        <w:spacing w:before="200" w:line-rule="auto"/>
        <w:ind w:firstLine="540"/>
        <w:jc w:val="both"/>
      </w:pPr>
      <w:r>
        <w:rPr>
          <w:sz w:val="20"/>
        </w:rPr>
        <w:t xml:space="preserve">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21.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history="0" w:anchor="P10377"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капитальному ремонту гидротехнических сооружений, находящихся в муниципаль...">
        <w:r>
          <w:rPr>
            <w:sz w:val="20"/>
            <w:color w:val="0000ff"/>
          </w:rPr>
          <w:t xml:space="preserve">пункте 2</w:t>
        </w:r>
      </w:hyperlink>
      <w:r>
        <w:rPr>
          <w:sz w:val="20"/>
        </w:rP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pPr>
        <w:pStyle w:val="0"/>
        <w:spacing w:before="200" w:line-rule="auto"/>
        <w:ind w:firstLine="540"/>
        <w:jc w:val="both"/>
      </w:pPr>
      <w:r>
        <w:rPr>
          <w:sz w:val="20"/>
        </w:rPr>
        <w:t xml:space="preserve">Неиспользованный объем субсидий перераспределяется между муниципальными образованиями в соответствии с Порядком.</w:t>
      </w:r>
    </w:p>
    <w:p>
      <w:pPr>
        <w:pStyle w:val="0"/>
        <w:spacing w:before="200" w:line-rule="auto"/>
        <w:ind w:firstLine="540"/>
        <w:jc w:val="both"/>
      </w:pPr>
      <w:r>
        <w:rPr>
          <w:sz w:val="20"/>
        </w:rPr>
        <w:t xml:space="preserve">22.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pPr>
        <w:pStyle w:val="0"/>
        <w:spacing w:before="200" w:line-rule="auto"/>
        <w:ind w:firstLine="540"/>
        <w:jc w:val="both"/>
      </w:pPr>
      <w:r>
        <w:rPr>
          <w:sz w:val="20"/>
        </w:rPr>
        <w:t xml:space="preserve">а) количество гидротехнических сооружений с неудовлетворительным и опасным уровнем безопасности, приведенных в текущем году в безопасное техническое состояние.</w:t>
      </w:r>
    </w:p>
    <w:p>
      <w:pPr>
        <w:pStyle w:val="0"/>
        <w:jc w:val="both"/>
      </w:pPr>
      <w:r>
        <w:rPr>
          <w:sz w:val="20"/>
        </w:rPr>
        <w:t xml:space="preserve">(п. 22 в ред. </w:t>
      </w:r>
      <w:hyperlink w:history="0" r:id="rId228"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23.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pPr>
        <w:pStyle w:val="0"/>
        <w:spacing w:before="200" w:line-rule="auto"/>
        <w:ind w:firstLine="540"/>
        <w:jc w:val="both"/>
      </w:pPr>
      <w:r>
        <w:rPr>
          <w:sz w:val="20"/>
        </w:rPr>
        <w:t xml:space="preserve">Органы государственного финансового контроля осуществляют контроль в соответствии с их полномочиями, установленными Бюджетным </w:t>
      </w:r>
      <w:hyperlink w:history="0" r:id="rId229"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и иными нормативными правовыми актами Российской Федерации и Белгородской области.</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8</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10484" w:name="P10484"/>
    <w:bookmarkEnd w:id="10484"/>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районов и городских округов</w:t>
      </w:r>
    </w:p>
    <w:p>
      <w:pPr>
        <w:pStyle w:val="2"/>
        <w:jc w:val="center"/>
      </w:pPr>
      <w:r>
        <w:rPr>
          <w:sz w:val="20"/>
        </w:rPr>
        <w:t xml:space="preserve">на разработку проектно-сметной документации на осуществление</w:t>
      </w:r>
    </w:p>
    <w:p>
      <w:pPr>
        <w:pStyle w:val="2"/>
        <w:jc w:val="center"/>
      </w:pPr>
      <w:r>
        <w:rPr>
          <w:sz w:val="20"/>
        </w:rPr>
        <w:t xml:space="preserve">капитального ремонта гидротехнических сооружений,</w:t>
      </w:r>
    </w:p>
    <w:p>
      <w:pPr>
        <w:pStyle w:val="2"/>
        <w:jc w:val="center"/>
      </w:pPr>
      <w:r>
        <w:rPr>
          <w:sz w:val="20"/>
        </w:rPr>
        <w:t xml:space="preserve">находящихся в муниципальной собственности,</w:t>
      </w:r>
    </w:p>
    <w:p>
      <w:pPr>
        <w:pStyle w:val="2"/>
        <w:jc w:val="center"/>
      </w:pPr>
      <w:r>
        <w:rPr>
          <w:sz w:val="20"/>
        </w:rPr>
        <w:t xml:space="preserve">и бесхозяйных гидротехнических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30"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20.07.2020 N 326-пп;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22.03.2021 </w:t>
            </w:r>
            <w:hyperlink w:history="0" r:id="rId231"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17.01.2022 </w:t>
            </w:r>
            <w:hyperlink w:history="0" r:id="rId232"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районов и городских округов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в рамках реализации </w:t>
      </w:r>
      <w:hyperlink w:history="0" w:anchor="P1170" w:tooltip="Паспорт">
        <w:r>
          <w:rPr>
            <w:sz w:val="20"/>
            <w:color w:val="0000ff"/>
          </w:rPr>
          <w:t xml:space="preserve">подпрограммы</w:t>
        </w:r>
      </w:hyperlink>
      <w:r>
        <w:rPr>
          <w:sz w:val="20"/>
        </w:rPr>
        <w:t xml:space="preserve">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bookmarkStart w:id="10498" w:name="P10498"/>
    <w:bookmarkEnd w:id="10498"/>
    <w:p>
      <w:pPr>
        <w:pStyle w:val="0"/>
        <w:spacing w:before="200" w:line-rule="auto"/>
        <w:ind w:firstLine="540"/>
        <w:jc w:val="both"/>
      </w:pPr>
      <w:r>
        <w:rPr>
          <w:sz w:val="20"/>
        </w:rPr>
        <w:t xml:space="preserve">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p>
      <w:pPr>
        <w:pStyle w:val="0"/>
        <w:jc w:val="both"/>
      </w:pPr>
      <w:r>
        <w:rPr>
          <w:sz w:val="20"/>
        </w:rPr>
        <w:t xml:space="preserve">(в ред. </w:t>
      </w:r>
      <w:hyperlink w:history="0" r:id="rId233"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3. Субсидии предоставляются бюджетам муниципальных образований на следующих условиях:</w:t>
      </w:r>
    </w:p>
    <w:p>
      <w:pPr>
        <w:pStyle w:val="0"/>
        <w:spacing w:before="200" w:line-rule="auto"/>
        <w:ind w:firstLine="540"/>
        <w:jc w:val="both"/>
      </w:pPr>
      <w:r>
        <w:rPr>
          <w:sz w:val="20"/>
        </w:rPr>
        <w:t xml:space="preserve">а) наличие муниципальных программ (подпрограмм), предусматривающих реализацию мероприятий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p>
      <w:pPr>
        <w:pStyle w:val="0"/>
        <w:spacing w:before="200" w:line-rule="auto"/>
        <w:ind w:firstLine="540"/>
        <w:jc w:val="both"/>
      </w:pPr>
      <w:r>
        <w:rPr>
          <w:sz w:val="20"/>
        </w:rPr>
        <w:t xml:space="preserve">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размере 30 процентов от общего объема средств на разработку проектно-сметной документации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pPr>
        <w:pStyle w:val="0"/>
        <w:spacing w:before="200" w:line-rule="auto"/>
        <w:ind w:firstLine="540"/>
        <w:jc w:val="both"/>
      </w:pPr>
      <w:r>
        <w:rPr>
          <w:sz w:val="20"/>
        </w:rPr>
        <w:t xml:space="preserve">4. Муниципальные образования, бюджетам которых предоставляются субсидии на софинансирование мероприятий, указанных в </w:t>
      </w:r>
      <w:hyperlink w:history="0" w:anchor="P10498"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
        <w:r>
          <w:rPr>
            <w:sz w:val="20"/>
            <w:color w:val="0000ff"/>
          </w:rPr>
          <w:t xml:space="preserve">пункте 2</w:t>
        </w:r>
      </w:hyperlink>
      <w:r>
        <w:rPr>
          <w:sz w:val="20"/>
        </w:rPr>
        <w:t xml:space="preserve"> Порядка, должны отвечать следующим критериям:</w:t>
      </w:r>
    </w:p>
    <w:p>
      <w:pPr>
        <w:pStyle w:val="0"/>
        <w:spacing w:before="200" w:line-rule="auto"/>
        <w:ind w:firstLine="540"/>
        <w:jc w:val="both"/>
      </w:pPr>
      <w:r>
        <w:rPr>
          <w:sz w:val="20"/>
        </w:rPr>
        <w:t xml:space="preserve">а) наличие акта обследования, оформленного в год, предшествующий разработке проектно-сметной документации, на объект, подлежащий капитальному ремонту;</w:t>
      </w:r>
    </w:p>
    <w:p>
      <w:pPr>
        <w:pStyle w:val="0"/>
        <w:spacing w:before="200" w:line-rule="auto"/>
        <w:ind w:firstLine="540"/>
        <w:jc w:val="both"/>
      </w:pPr>
      <w:r>
        <w:rPr>
          <w:sz w:val="20"/>
        </w:rPr>
        <w:t xml:space="preserve">б) наличие выписки из реестра имущества муниципального образования об объекте, подлежащем капитальному ремонту (по бесхозяйным гидротехническим сооружениям представляются выписки из Единого государственного реестра прав на недвижимое имущество и сделок с ним о постановке объекта в качестве бесхозяйного на учет органом, осуществляющим государственную регистрацию прав на недвижимое имущество, по заявлению органа местного самоуправления, на территории которого они находятся), полученной в год, предшествующий разработке проектно-сметной документации;</w:t>
      </w:r>
    </w:p>
    <w:p>
      <w:pPr>
        <w:pStyle w:val="0"/>
        <w:spacing w:before="200" w:line-rule="auto"/>
        <w:ind w:firstLine="540"/>
        <w:jc w:val="both"/>
      </w:pPr>
      <w:r>
        <w:rPr>
          <w:sz w:val="20"/>
        </w:rPr>
        <w:t xml:space="preserve">в) наличие гидротехнического сооружения в Перечне аварийных гидротехнических сооружений, находящихся в муниципальной собственности, и бесхозяйных гидротехнических сооружений, требующих капитального ремонта по Белгородской области, утвержденном главным распорядителем средств областного бюджета совместно с территориальным подразделением Федерального агентства водных ресурсов и Федеральной службы по экологическому, технологическому и атомному надзору.</w:t>
      </w:r>
    </w:p>
    <w:p>
      <w:pPr>
        <w:pStyle w:val="0"/>
        <w:spacing w:before="200" w:line-rule="auto"/>
        <w:ind w:firstLine="540"/>
        <w:jc w:val="both"/>
      </w:pPr>
      <w:r>
        <w:rPr>
          <w:sz w:val="20"/>
        </w:rPr>
        <w:t xml:space="preserve">5. Объем субсидии, предоставляемой бюджету муниципального образования на осуществление мероприятия, указанного в </w:t>
      </w:r>
      <w:hyperlink w:history="0" w:anchor="P10498"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
        <w:r>
          <w:rPr>
            <w:sz w:val="20"/>
            <w:color w:val="0000ff"/>
          </w:rPr>
          <w:t xml:space="preserve">пункте 2</w:t>
        </w:r>
      </w:hyperlink>
      <w:r>
        <w:rPr>
          <w:sz w:val="20"/>
        </w:rPr>
        <w:t xml:space="preserve"> Порядка, определяется по следующей формуле:</w:t>
      </w:r>
    </w:p>
    <w:p>
      <w:pPr>
        <w:pStyle w:val="0"/>
        <w:ind w:firstLine="540"/>
        <w:jc w:val="both"/>
      </w:pPr>
      <w:r>
        <w:rPr>
          <w:sz w:val="20"/>
        </w:rPr>
      </w:r>
    </w:p>
    <w:p>
      <w:pPr>
        <w:pStyle w:val="0"/>
        <w:jc w:val="center"/>
      </w:pPr>
      <w:r>
        <w:rPr>
          <w:position w:val="-20"/>
        </w:rPr>
        <w:drawing>
          <wp:inline distT="0" distB="0" distL="0" distR="0">
            <wp:extent cx="990600"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a:extLst>
                        <a:ext uri="{28A0092B-C50C-407E-A947-70E740481C1C}">
                          <a14:useLocalDpi xmlns:a14="http://schemas.microsoft.com/office/drawing/2010/main" val="0"/>
                        </a:ext>
                      </a:extLst>
                    </a:blip>
                    <a:srcRect/>
                    <a:stretch>
                      <a:fillRect/>
                    </a:stretch>
                  </pic:blipFill>
                  <pic:spPr bwMode="auto">
                    <a:xfrm>
                      <a:off x="0" y="0"/>
                      <a:ext cx="990600" cy="390525"/>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СД - объем субсидий областного бюджета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выделяемых муниципальному району или городскому округу;</w:t>
      </w:r>
    </w:p>
    <w:p>
      <w:pPr>
        <w:pStyle w:val="0"/>
        <w:spacing w:before="200" w:line-rule="auto"/>
        <w:ind w:firstLine="540"/>
        <w:jc w:val="both"/>
      </w:pPr>
      <w:r>
        <w:rPr>
          <w:sz w:val="20"/>
        </w:rPr>
        <w:t xml:space="preserve">Пр - сумма средств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p>
      <w:pPr>
        <w:pStyle w:val="0"/>
        <w:spacing w:before="200" w:line-rule="auto"/>
        <w:ind w:firstLine="540"/>
        <w:jc w:val="both"/>
      </w:pPr>
      <w:r>
        <w:rPr>
          <w:sz w:val="20"/>
        </w:rPr>
        <w:t xml:space="preserve">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июля года, предшествующего очередному финансовому году.</w:t>
      </w:r>
    </w:p>
    <w:p>
      <w:pPr>
        <w:pStyle w:val="0"/>
        <w:spacing w:before="200" w:line-rule="auto"/>
        <w:ind w:firstLine="540"/>
        <w:jc w:val="both"/>
      </w:pPr>
      <w:r>
        <w:rPr>
          <w:sz w:val="20"/>
        </w:rPr>
        <w:t xml:space="preserve">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pPr>
        <w:pStyle w:val="0"/>
        <w:spacing w:before="200" w:line-rule="auto"/>
        <w:ind w:firstLine="540"/>
        <w:jc w:val="both"/>
      </w:pPr>
      <w:r>
        <w:rPr>
          <w:sz w:val="20"/>
        </w:rP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pPr>
        <w:pStyle w:val="0"/>
        <w:spacing w:before="200" w:line-rule="auto"/>
        <w:ind w:firstLine="540"/>
        <w:jc w:val="both"/>
      </w:pPr>
      <w:r>
        <w:rPr>
          <w:sz w:val="20"/>
        </w:rPr>
        <w:t xml:space="preserve">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pPr>
        <w:pStyle w:val="0"/>
        <w:spacing w:before="200" w:line-rule="auto"/>
        <w:ind w:firstLine="540"/>
        <w:jc w:val="both"/>
      </w:pPr>
      <w:r>
        <w:rPr>
          <w:sz w:val="20"/>
        </w:rPr>
        <w:t xml:space="preserve">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pPr>
        <w:pStyle w:val="0"/>
        <w:spacing w:before="200" w:line-rule="auto"/>
        <w:ind w:firstLine="540"/>
        <w:jc w:val="both"/>
      </w:pPr>
      <w:r>
        <w:rPr>
          <w:sz w:val="20"/>
        </w:rPr>
        <w:t xml:space="preserve">е) порядок осуществления контроля за соблюдением муниципальным образованием обязательств, предусмотренных соглашением;</w:t>
      </w:r>
    </w:p>
    <w:p>
      <w:pPr>
        <w:pStyle w:val="0"/>
        <w:spacing w:before="200" w:line-rule="auto"/>
        <w:ind w:firstLine="540"/>
        <w:jc w:val="both"/>
      </w:pPr>
      <w:r>
        <w:rPr>
          <w:sz w:val="20"/>
        </w:rPr>
        <w:t xml:space="preserve">ж) последствия недостижения муниципальным образованием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з) ответственность сторон за нарушение условий соглашения;</w:t>
      </w:r>
    </w:p>
    <w:p>
      <w:pPr>
        <w:pStyle w:val="0"/>
        <w:spacing w:before="200" w:line-rule="auto"/>
        <w:ind w:firstLine="540"/>
        <w:jc w:val="both"/>
      </w:pPr>
      <w:r>
        <w:rPr>
          <w:sz w:val="20"/>
        </w:rPr>
        <w:t xml:space="preserve">и) иные условия, определяемые по соглашению сторон, регулирующему порядок предоставления субсидий;</w:t>
      </w:r>
    </w:p>
    <w:p>
      <w:pPr>
        <w:pStyle w:val="0"/>
        <w:spacing w:before="200" w:line-rule="auto"/>
        <w:ind w:firstLine="540"/>
        <w:jc w:val="both"/>
      </w:pPr>
      <w:r>
        <w:rPr>
          <w:sz w:val="20"/>
        </w:rPr>
        <w:t xml:space="preserve">к) условие о вступлении в силу соглашения.</w:t>
      </w:r>
    </w:p>
    <w:p>
      <w:pPr>
        <w:pStyle w:val="0"/>
        <w:spacing w:before="200" w:line-rule="auto"/>
        <w:ind w:firstLine="540"/>
        <w:jc w:val="both"/>
      </w:pPr>
      <w:r>
        <w:rPr>
          <w:sz w:val="20"/>
        </w:rPr>
        <w:t xml:space="preserve">8. Перечисление субсидий из областного бюджета в бюджет муниципального образования осуществляется на единый счет бюджета муниципального образования, открытый в Управлении Федерального казначейства по Белгородской области.</w:t>
      </w:r>
    </w:p>
    <w:p>
      <w:pPr>
        <w:pStyle w:val="0"/>
        <w:jc w:val="both"/>
      </w:pPr>
      <w:r>
        <w:rPr>
          <w:sz w:val="20"/>
        </w:rPr>
        <w:t xml:space="preserve">(п. 8 в ред. </w:t>
      </w:r>
      <w:hyperlink w:history="0" r:id="rId235"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22.03.2021 N 104-пп)</w:t>
      </w:r>
    </w:p>
    <w:p>
      <w:pPr>
        <w:pStyle w:val="0"/>
        <w:spacing w:before="200" w:line-rule="auto"/>
        <w:ind w:firstLine="540"/>
        <w:jc w:val="both"/>
      </w:pPr>
      <w:r>
        <w:rPr>
          <w:sz w:val="20"/>
        </w:rPr>
        <w:t xml:space="preserve">9. Перечисление средств субсидии в бюджет муниципального образования на реализацию мероприятий, указанных в </w:t>
      </w:r>
      <w:hyperlink w:history="0" w:anchor="P10498"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
        <w:r>
          <w:rPr>
            <w:sz w:val="20"/>
            <w:color w:val="0000ff"/>
          </w:rPr>
          <w:t xml:space="preserve">пункте 2</w:t>
        </w:r>
      </w:hyperlink>
      <w:r>
        <w:rPr>
          <w:sz w:val="20"/>
        </w:rP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pPr>
        <w:pStyle w:val="0"/>
        <w:spacing w:before="200" w:line-rule="auto"/>
        <w:ind w:firstLine="540"/>
        <w:jc w:val="both"/>
      </w:pPr>
      <w:r>
        <w:rPr>
          <w:sz w:val="20"/>
        </w:rPr>
        <w:t xml:space="preserve">10.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pPr>
        <w:pStyle w:val="0"/>
        <w:spacing w:before="200" w:line-rule="auto"/>
        <w:ind w:firstLine="540"/>
        <w:jc w:val="both"/>
      </w:pPr>
      <w:r>
        <w:rPr>
          <w:sz w:val="20"/>
        </w:rPr>
        <w:t xml:space="preserve">11. Муниципальное образование предоставляет главному распорядителю средств областного бюджета:</w:t>
      </w:r>
    </w:p>
    <w:p>
      <w:pPr>
        <w:pStyle w:val="0"/>
        <w:spacing w:before="200" w:line-rule="auto"/>
        <w:ind w:firstLine="540"/>
        <w:jc w:val="both"/>
      </w:pPr>
      <w:r>
        <w:rPr>
          <w:sz w:val="20"/>
        </w:rPr>
        <w:t xml:space="preserve">а)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history="0" w:anchor="P10498"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
        <w:r>
          <w:rPr>
            <w:sz w:val="20"/>
            <w:color w:val="0000ff"/>
          </w:rPr>
          <w:t xml:space="preserve">пункте 2</w:t>
        </w:r>
      </w:hyperlink>
      <w:r>
        <w:rPr>
          <w:sz w:val="20"/>
        </w:rPr>
        <w:t xml:space="preserve"> Порядка, - не позднее 31 декабря года, предшествующего году предоставления субсидии;</w:t>
      </w:r>
    </w:p>
    <w:bookmarkStart w:id="10532" w:name="P10532"/>
    <w:bookmarkEnd w:id="10532"/>
    <w:p>
      <w:pPr>
        <w:pStyle w:val="0"/>
        <w:spacing w:before="200" w:line-rule="auto"/>
        <w:ind w:firstLine="540"/>
        <w:jc w:val="both"/>
      </w:pPr>
      <w:r>
        <w:rPr>
          <w:sz w:val="20"/>
        </w:rPr>
        <w:t xml:space="preserve">б) муниципальную программу (подпрограмму), предусматривающую реализацию мероприятий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 не позднее 31 декабря года, предшествующего году предоставления субсидии;</w:t>
      </w:r>
    </w:p>
    <w:p>
      <w:pPr>
        <w:pStyle w:val="0"/>
        <w:spacing w:before="200" w:line-rule="auto"/>
        <w:ind w:firstLine="540"/>
        <w:jc w:val="both"/>
      </w:pPr>
      <w:r>
        <w:rPr>
          <w:sz w:val="20"/>
        </w:rPr>
        <w:t xml:space="preserve">в)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w:history="0" r:id="rId236"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документов, подтверждающих фактически осуществленные расходы органа муниципального образования, после приемки выполненных работ, в установленный муниципальным контрактом срок, по форме и в сроки, установленные главным распорядителем средств областного бюджета;</w:t>
      </w:r>
    </w:p>
    <w:p>
      <w:pPr>
        <w:pStyle w:val="0"/>
        <w:spacing w:before="200" w:line-rule="auto"/>
        <w:ind w:firstLine="540"/>
        <w:jc w:val="both"/>
      </w:pPr>
      <w:r>
        <w:rPr>
          <w:sz w:val="20"/>
        </w:rPr>
        <w:t xml:space="preserve">г)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 по форме, установленной соглашением;</w:t>
      </w:r>
    </w:p>
    <w:p>
      <w:pPr>
        <w:pStyle w:val="0"/>
        <w:spacing w:before="200" w:line-rule="auto"/>
        <w:ind w:firstLine="540"/>
        <w:jc w:val="both"/>
      </w:pPr>
      <w:r>
        <w:rPr>
          <w:sz w:val="20"/>
        </w:rPr>
        <w:t xml:space="preserve">д) отчет о расходах бюджетных ассигнований муниципального образования, источником финансового обеспечения которых является субсидия, - не позднее 10 числа месяца, следующего за годом, в котором была получена субсидия, по форме, установленной соглашением.</w:t>
      </w:r>
    </w:p>
    <w:p>
      <w:pPr>
        <w:pStyle w:val="0"/>
        <w:spacing w:before="200" w:line-rule="auto"/>
        <w:ind w:firstLine="540"/>
        <w:jc w:val="both"/>
      </w:pPr>
      <w:r>
        <w:rPr>
          <w:sz w:val="20"/>
        </w:rPr>
        <w:t xml:space="preserve">12. Ответственность за достоверность предоставляемых сведений, целевое и эффективное использование субсидий несут муниципальные образования.</w:t>
      </w:r>
    </w:p>
    <w:bookmarkStart w:id="10537" w:name="P10537"/>
    <w:bookmarkEnd w:id="10537"/>
    <w:p>
      <w:pPr>
        <w:pStyle w:val="0"/>
        <w:spacing w:before="200" w:line-rule="auto"/>
        <w:ind w:firstLine="540"/>
        <w:jc w:val="both"/>
      </w:pPr>
      <w:r>
        <w:rPr>
          <w:sz w:val="20"/>
        </w:rPr>
        <w:t xml:space="preserve">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history="0" w:anchor="P10532" w:tooltip="б) муниципальную программу (подпрограмму), предусматривающую реализацию мероприятий по разработке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 не позднее 31 декабря года, предшествующего году предоставления субсидии;">
        <w:r>
          <w:rPr>
            <w:sz w:val="20"/>
            <w:color w:val="0000ff"/>
          </w:rPr>
          <w:t xml:space="preserve">подпунктом "б" пункта 8</w:t>
        </w:r>
      </w:hyperlink>
      <w:r>
        <w:rPr>
          <w:sz w:val="20"/>
        </w:rP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sz w:val="20"/>
          <w:vertAlign w:val="subscript"/>
        </w:rPr>
        <w:t xml:space="preserve">возврат</w:t>
      </w:r>
      <w:r>
        <w:rPr>
          <w:sz w:val="20"/>
        </w:rPr>
        <w:t xml:space="preserve">), рассчитывается по формуле:</w:t>
      </w:r>
    </w:p>
    <w:p>
      <w:pPr>
        <w:pStyle w:val="0"/>
        <w:ind w:firstLine="540"/>
        <w:jc w:val="both"/>
      </w:pPr>
      <w:r>
        <w:rPr>
          <w:sz w:val="20"/>
        </w:rPr>
      </w:r>
    </w:p>
    <w:p>
      <w:pPr>
        <w:pStyle w:val="0"/>
        <w:jc w:val="center"/>
      </w:pPr>
      <w:r>
        <w:rPr>
          <w:sz w:val="20"/>
        </w:rPr>
        <w:t xml:space="preserve">V</w:t>
      </w:r>
      <w:r>
        <w:rPr>
          <w:sz w:val="20"/>
          <w:vertAlign w:val="subscript"/>
        </w:rPr>
        <w:t xml:space="preserve">возврат</w:t>
      </w:r>
      <w:r>
        <w:rPr>
          <w:sz w:val="20"/>
        </w:rPr>
        <w:t xml:space="preserve"> = (V</w:t>
      </w:r>
      <w:r>
        <w:rPr>
          <w:sz w:val="20"/>
          <w:vertAlign w:val="subscript"/>
        </w:rPr>
        <w:t xml:space="preserve">субсидии</w:t>
      </w:r>
      <w:r>
        <w:rPr>
          <w:sz w:val="20"/>
        </w:rPr>
        <w:t xml:space="preserve"> x k x m / n) x 0,1,</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субсидии -</w:t>
      </w:r>
      <w:r>
        <w:rPr>
          <w:sz w:val="20"/>
        </w:rPr>
        <w:t xml:space="preserve"> размер субсидии, предоставленной бюджету муниципального образования;</w:t>
      </w:r>
    </w:p>
    <w:p>
      <w:pPr>
        <w:pStyle w:val="0"/>
        <w:spacing w:before="200" w:line-rule="auto"/>
        <w:ind w:firstLine="540"/>
        <w:jc w:val="both"/>
      </w:pPr>
      <w:r>
        <w:rPr>
          <w:sz w:val="20"/>
        </w:rPr>
        <w:t xml:space="preserve">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0"/>
        <w:spacing w:before="200" w:line-rule="auto"/>
        <w:ind w:firstLine="540"/>
        <w:jc w:val="both"/>
      </w:pPr>
      <w:r>
        <w:rPr>
          <w:sz w:val="20"/>
        </w:rPr>
        <w:t xml:space="preserve">n - общее количество показателей результативности использования субсидии;</w:t>
      </w:r>
    </w:p>
    <w:p>
      <w:pPr>
        <w:pStyle w:val="0"/>
        <w:spacing w:before="200" w:line-rule="auto"/>
        <w:ind w:firstLine="540"/>
        <w:jc w:val="both"/>
      </w:pPr>
      <w:r>
        <w:rPr>
          <w:sz w:val="20"/>
        </w:rPr>
        <w:t xml:space="preserve">k - коэффициент возврата субсидии.</w:t>
      </w:r>
    </w:p>
    <w:p>
      <w:pPr>
        <w:pStyle w:val="0"/>
        <w:spacing w:before="200" w:line-rule="auto"/>
        <w:ind w:firstLine="540"/>
        <w:jc w:val="both"/>
      </w:pPr>
      <w:r>
        <w:rPr>
          <w:sz w:val="20"/>
        </w:rPr>
        <w:t xml:space="preserve">14. Коэффициент возврата субсидии рассчитывается по формуле:</w:t>
      </w:r>
    </w:p>
    <w:p>
      <w:pPr>
        <w:pStyle w:val="0"/>
        <w:ind w:firstLine="540"/>
        <w:jc w:val="both"/>
      </w:pPr>
      <w:r>
        <w:rPr>
          <w:sz w:val="20"/>
        </w:rPr>
      </w:r>
    </w:p>
    <w:p>
      <w:pPr>
        <w:pStyle w:val="0"/>
        <w:jc w:val="center"/>
      </w:pPr>
      <w:r>
        <w:rPr>
          <w:sz w:val="20"/>
        </w:rPr>
        <w:t xml:space="preserve">k = SUM D</w:t>
      </w:r>
      <w:r>
        <w:rPr>
          <w:sz w:val="20"/>
          <w:vertAlign w:val="subscript"/>
        </w:rPr>
        <w:t xml:space="preserve">i</w:t>
      </w:r>
      <w:r>
        <w:rPr>
          <w:sz w:val="20"/>
        </w:rPr>
        <w:t xml:space="preserve"> / m,</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15. Индекс, отражающий уровень недостижения i-го показателя результативности использования субсидии, определяется:</w:t>
      </w:r>
    </w:p>
    <w:p>
      <w:pPr>
        <w:pStyle w:val="0"/>
        <w:spacing w:before="200" w:line-rule="auto"/>
        <w:ind w:firstLine="540"/>
        <w:jc w:val="both"/>
      </w:pPr>
      <w:r>
        <w:rPr>
          <w:sz w:val="20"/>
        </w:rPr>
        <w:t xml:space="preserve">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Dj = 1 - T</w:t>
      </w:r>
      <w:r>
        <w:rPr>
          <w:sz w:val="20"/>
          <w:vertAlign w:val="subscript"/>
        </w:rPr>
        <w:t xml:space="preserve">i</w:t>
      </w:r>
      <w:r>
        <w:rPr>
          <w:sz w:val="20"/>
        </w:rPr>
        <w:t xml:space="preserve"> / Si,</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T</w:t>
      </w:r>
      <w:r>
        <w:rPr>
          <w:sz w:val="20"/>
          <w:vertAlign w:val="subscript"/>
        </w:rPr>
        <w:t xml:space="preserve">i</w:t>
      </w:r>
      <w:r>
        <w:rPr>
          <w:sz w:val="20"/>
        </w:rPr>
        <w:t xml:space="preserve"> - фактически достигнутое значение i-го показателя результативности использования субсидии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i-го показателя результативности использования субсидии, установленное соглашением;</w:t>
      </w:r>
    </w:p>
    <w:p>
      <w:pPr>
        <w:pStyle w:val="0"/>
        <w:spacing w:before="200" w:line-rule="auto"/>
        <w:ind w:firstLine="540"/>
        <w:jc w:val="both"/>
      </w:pPr>
      <w:r>
        <w:rPr>
          <w:sz w:val="20"/>
        </w:rPr>
        <w:t xml:space="preserve">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S</w:t>
      </w:r>
      <w:r>
        <w:rPr>
          <w:sz w:val="20"/>
          <w:vertAlign w:val="subscript"/>
        </w:rPr>
        <w:t xml:space="preserve">i</w:t>
      </w:r>
      <w:r>
        <w:rPr>
          <w:sz w:val="20"/>
        </w:rPr>
        <w:t xml:space="preserve"> / T</w:t>
      </w:r>
      <w:r>
        <w:rPr>
          <w:sz w:val="20"/>
          <w:vertAlign w:val="subscript"/>
        </w:rPr>
        <w:t xml:space="preserve">i</w:t>
      </w:r>
    </w:p>
    <w:p>
      <w:pPr>
        <w:pStyle w:val="0"/>
        <w:ind w:firstLine="540"/>
        <w:jc w:val="both"/>
      </w:pPr>
      <w:r>
        <w:rPr>
          <w:sz w:val="20"/>
        </w:rPr>
      </w:r>
    </w:p>
    <w:p>
      <w:pPr>
        <w:pStyle w:val="0"/>
        <w:ind w:firstLine="540"/>
        <w:jc w:val="both"/>
      </w:pPr>
      <w:r>
        <w:rPr>
          <w:sz w:val="20"/>
        </w:rPr>
        <w:t xml:space="preserve">16. Основанием для освобождения муниципальных образований от применения мер ответственности, предусмотренных </w:t>
      </w:r>
      <w:hyperlink w:history="0" w:anchor="P10537" w:tooltip="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13</w:t>
        </w:r>
      </w:hyperlink>
      <w:r>
        <w:rPr>
          <w:sz w:val="20"/>
        </w:rP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pPr>
        <w:pStyle w:val="0"/>
        <w:spacing w:before="200" w:line-rule="auto"/>
        <w:ind w:firstLine="540"/>
        <w:jc w:val="both"/>
      </w:pPr>
      <w:r>
        <w:rPr>
          <w:sz w:val="20"/>
        </w:rPr>
        <w:t xml:space="preserve">В случае отсутствия оснований для освобождения муниципальных образований от применения мер ответственности, предусмотренных пунктом 13 Порядка, главный распорядитель средств областного бюджета не позднее 20 апреля года, следующего за годом предоставления субсидии, представляет в министерство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w:t>
      </w:r>
      <w:hyperlink w:history="0" w:anchor="P10537" w:tooltip="13.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13</w:t>
        </w:r>
      </w:hyperlink>
      <w:r>
        <w:rPr>
          <w:sz w:val="20"/>
        </w:rPr>
        <w:t xml:space="preserve"> Порядка, на иные цели.</w:t>
      </w:r>
    </w:p>
    <w:p>
      <w:pPr>
        <w:pStyle w:val="0"/>
        <w:jc w:val="both"/>
      </w:pPr>
      <w:r>
        <w:rPr>
          <w:sz w:val="20"/>
        </w:rPr>
        <w:t xml:space="preserve">(в ред. </w:t>
      </w:r>
      <w:hyperlink w:history="0" r:id="rId23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17.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13 Порядка, к нему применяются бюджетные меры принуждения, предусмотренные бюджетным законодательством Российской Федерации.</w:t>
      </w:r>
    </w:p>
    <w:p>
      <w:pPr>
        <w:pStyle w:val="0"/>
        <w:spacing w:before="200" w:line-rule="auto"/>
        <w:ind w:firstLine="540"/>
        <w:jc w:val="both"/>
      </w:pPr>
      <w:r>
        <w:rPr>
          <w:sz w:val="20"/>
        </w:rPr>
        <w:t xml:space="preserve">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18. В случае отсутствия потребности в субсидиях и отсутствия заключенного по состоянию на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главный распорядитель средств областного бюджета на основании письменного обращения муниципального образования вправе в течение текущего финансового года перераспределить неиспользованный объем субсидий между муниципальными образованиями, которые имеют право на предоставление субсидий.</w:t>
      </w:r>
    </w:p>
    <w:p>
      <w:pPr>
        <w:pStyle w:val="0"/>
        <w:spacing w:before="200" w:line-rule="auto"/>
        <w:ind w:firstLine="540"/>
        <w:jc w:val="both"/>
      </w:pPr>
      <w:r>
        <w:rPr>
          <w:sz w:val="20"/>
        </w:rPr>
        <w:t xml:space="preserve">19.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history="0" w:anchor="P10498" w:tooltip="2. Субсидии предоставляются главным распорядителем средств областного бюджета - министерством природопользования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осуществление капитального рем...">
        <w:r>
          <w:rPr>
            <w:sz w:val="20"/>
            <w:color w:val="0000ff"/>
          </w:rPr>
          <w:t xml:space="preserve">пункте 2</w:t>
        </w:r>
      </w:hyperlink>
      <w:r>
        <w:rPr>
          <w:sz w:val="20"/>
        </w:rP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pPr>
        <w:pStyle w:val="0"/>
        <w:spacing w:before="200" w:line-rule="auto"/>
        <w:ind w:firstLine="540"/>
        <w:jc w:val="both"/>
      </w:pPr>
      <w:r>
        <w:rPr>
          <w:sz w:val="20"/>
        </w:rPr>
        <w:t xml:space="preserve">Неиспользованный объем субсидий перераспределяется между муниципальными образованиями в соответствии с Порядком.</w:t>
      </w:r>
    </w:p>
    <w:p>
      <w:pPr>
        <w:pStyle w:val="0"/>
        <w:spacing w:before="200" w:line-rule="auto"/>
        <w:ind w:firstLine="540"/>
        <w:jc w:val="both"/>
      </w:pPr>
      <w:r>
        <w:rPr>
          <w:sz w:val="20"/>
        </w:rPr>
        <w:t xml:space="preserve">20.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pPr>
        <w:pStyle w:val="0"/>
        <w:spacing w:before="200" w:line-rule="auto"/>
        <w:ind w:firstLine="540"/>
        <w:jc w:val="both"/>
      </w:pPr>
      <w:r>
        <w:rPr>
          <w:sz w:val="20"/>
        </w:rPr>
        <w:t xml:space="preserve">- количество разработанных проектов по капитальному ремонту бесхозяйных и муниципальных ГТС, штук.</w:t>
      </w:r>
    </w:p>
    <w:p>
      <w:pPr>
        <w:pStyle w:val="0"/>
        <w:spacing w:before="200" w:line-rule="auto"/>
        <w:ind w:firstLine="540"/>
        <w:jc w:val="both"/>
      </w:pPr>
      <w:r>
        <w:rPr>
          <w:sz w:val="20"/>
        </w:rPr>
        <w:t xml:space="preserve">21.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pPr>
        <w:pStyle w:val="0"/>
        <w:spacing w:before="200" w:line-rule="auto"/>
        <w:ind w:firstLine="540"/>
        <w:jc w:val="both"/>
      </w:pPr>
      <w:r>
        <w:rPr>
          <w:sz w:val="20"/>
        </w:rPr>
        <w:t xml:space="preserve">Органы государственного финансового контроля осуществляют контроль в соответствии с их полномочиями, установленными Бюджетным </w:t>
      </w:r>
      <w:hyperlink w:history="0" r:id="rId238"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и иными нормативными правовыми актами Российской Федерации и Белгородской области.</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9</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10588" w:name="P10588"/>
    <w:bookmarkEnd w:id="10588"/>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выполнение мероприятий по созданию эффективных</w:t>
      </w:r>
    </w:p>
    <w:p>
      <w:pPr>
        <w:pStyle w:val="2"/>
        <w:jc w:val="center"/>
      </w:pPr>
      <w:r>
        <w:rPr>
          <w:sz w:val="20"/>
        </w:rPr>
        <w:t xml:space="preserve">механизмов управления в области обращения</w:t>
      </w:r>
    </w:p>
    <w:p>
      <w:pPr>
        <w:pStyle w:val="2"/>
        <w:jc w:val="center"/>
      </w:pPr>
      <w:r>
        <w:rPr>
          <w:sz w:val="20"/>
        </w:rPr>
        <w:t xml:space="preserve">с твердыми коммунальными отходами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39"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20.07.2020 N 326-пп;</w:t>
            </w:r>
          </w:p>
          <w:p>
            <w:pPr>
              <w:pStyle w:val="0"/>
              <w:jc w:val="center"/>
            </w:pPr>
            <w:r>
              <w:rPr>
                <w:sz w:val="20"/>
                <w:color w:val="392c69"/>
              </w:rPr>
              <w:t xml:space="preserve">в ред. </w:t>
            </w:r>
            <w:hyperlink w:history="0" r:id="rId240"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17.01.2022 N 20-пп)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Белгородской области на выполнение мероприятий по созданию эффективных механизмов управления в области обращения с твердыми коммунальными отходами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выполнение мероприятий по созданию эффективных механизмов управления в области обращения с твердыми коммунальными отходами в рамках реализации </w:t>
      </w:r>
      <w:hyperlink w:history="0" w:anchor="P1966" w:tooltip="Паспорт">
        <w:r>
          <w:rPr>
            <w:sz w:val="20"/>
            <w:color w:val="0000ff"/>
          </w:rPr>
          <w:t xml:space="preserve">подпрограммы</w:t>
        </w:r>
      </w:hyperlink>
      <w:r>
        <w:rPr>
          <w:sz w:val="20"/>
        </w:rP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bookmarkStart w:id="10601" w:name="P10601"/>
    <w:bookmarkEnd w:id="10601"/>
    <w:p>
      <w:pPr>
        <w:pStyle w:val="0"/>
        <w:spacing w:before="200" w:line-rule="auto"/>
        <w:ind w:firstLine="540"/>
        <w:jc w:val="both"/>
      </w:pPr>
      <w:r>
        <w:rPr>
          <w:sz w:val="20"/>
        </w:rPr>
        <w:t xml:space="preserve">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области обращения с твердыми коммунальными отходами:</w:t>
      </w:r>
    </w:p>
    <w:p>
      <w:pPr>
        <w:pStyle w:val="0"/>
        <w:jc w:val="both"/>
      </w:pPr>
      <w:r>
        <w:rPr>
          <w:sz w:val="20"/>
        </w:rPr>
        <w:t xml:space="preserve">(в ред. </w:t>
      </w:r>
      <w:hyperlink w:history="0" r:id="rId241"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 организация весового контроля на объектах размещения отходов (полигонах) Белгородской области;</w:t>
      </w:r>
    </w:p>
    <w:p>
      <w:pPr>
        <w:pStyle w:val="0"/>
        <w:spacing w:before="200" w:line-rule="auto"/>
        <w:ind w:firstLine="540"/>
        <w:jc w:val="both"/>
      </w:pPr>
      <w:r>
        <w:rPr>
          <w:sz w:val="20"/>
        </w:rPr>
        <w:t xml:space="preserve">- разработка проектно-сметной документации на строительство объектов размещения твердых коммунальных отходов;</w:t>
      </w:r>
    </w:p>
    <w:p>
      <w:pPr>
        <w:pStyle w:val="0"/>
        <w:spacing w:before="200" w:line-rule="auto"/>
        <w:ind w:firstLine="540"/>
        <w:jc w:val="both"/>
      </w:pPr>
      <w:r>
        <w:rPr>
          <w:sz w:val="20"/>
        </w:rPr>
        <w:t xml:space="preserve">- строительство объектов размещения твердых коммунальных отходов;</w:t>
      </w:r>
    </w:p>
    <w:p>
      <w:pPr>
        <w:pStyle w:val="0"/>
        <w:spacing w:before="200" w:line-rule="auto"/>
        <w:ind w:firstLine="540"/>
        <w:jc w:val="both"/>
      </w:pPr>
      <w:r>
        <w:rPr>
          <w:sz w:val="20"/>
        </w:rPr>
        <w:t xml:space="preserve">- строительство мусороперегрузочных станций;</w:t>
      </w:r>
    </w:p>
    <w:p>
      <w:pPr>
        <w:pStyle w:val="0"/>
        <w:spacing w:before="200" w:line-rule="auto"/>
        <w:ind w:firstLine="540"/>
        <w:jc w:val="both"/>
      </w:pPr>
      <w:r>
        <w:rPr>
          <w:sz w:val="20"/>
        </w:rPr>
        <w:t xml:space="preserve">- строительство объектов обработки твердых коммунальных отходов;</w:t>
      </w:r>
    </w:p>
    <w:p>
      <w:pPr>
        <w:pStyle w:val="0"/>
        <w:spacing w:before="200" w:line-rule="auto"/>
        <w:ind w:firstLine="540"/>
        <w:jc w:val="both"/>
      </w:pPr>
      <w:r>
        <w:rPr>
          <w:sz w:val="20"/>
        </w:rPr>
        <w:t xml:space="preserve">- развитие и модернизация объектов обращения с твердыми коммунальными отходами;</w:t>
      </w:r>
    </w:p>
    <w:p>
      <w:pPr>
        <w:pStyle w:val="0"/>
        <w:spacing w:before="200" w:line-rule="auto"/>
        <w:ind w:firstLine="540"/>
        <w:jc w:val="both"/>
      </w:pPr>
      <w:r>
        <w:rPr>
          <w:sz w:val="20"/>
        </w:rPr>
        <w:t xml:space="preserve">- приобретение оборудования и иного движимого имущества, необходимых для осуществления мероприятий по модернизации объектов обращения с твердыми коммунальными отходами, а также для обеспечения функционирования модернизированных объектов обращения с твердыми коммунальными отходами, находящихся в муниципальной собственности.</w:t>
      </w:r>
    </w:p>
    <w:p>
      <w:pPr>
        <w:pStyle w:val="0"/>
        <w:spacing w:before="200" w:line-rule="auto"/>
        <w:ind w:firstLine="540"/>
        <w:jc w:val="both"/>
      </w:pPr>
      <w:r>
        <w:rPr>
          <w:sz w:val="20"/>
        </w:rPr>
        <w:t xml:space="preserve">3. Субсидии предоставляются бюджетам муниципальных образований на следующих условиях:</w:t>
      </w:r>
    </w:p>
    <w:p>
      <w:pPr>
        <w:pStyle w:val="0"/>
        <w:spacing w:before="200" w:line-rule="auto"/>
        <w:ind w:firstLine="540"/>
        <w:jc w:val="both"/>
      </w:pPr>
      <w:r>
        <w:rPr>
          <w:sz w:val="20"/>
        </w:rPr>
        <w:t xml:space="preserve">а) наличие муниципальных программ (подпрограмм), предусматривающих реализацию мероприятий по созданию эффективных механизмов управления в области обращения с твердыми коммунальными отходами,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 (с перечнем мероприятий, на софинансирование которых осуществляется предоставление субсидии);</w:t>
      </w:r>
    </w:p>
    <w:bookmarkStart w:id="10612" w:name="P10612"/>
    <w:bookmarkEnd w:id="10612"/>
    <w:p>
      <w:pPr>
        <w:pStyle w:val="0"/>
        <w:spacing w:before="200" w:line-rule="auto"/>
        <w:ind w:firstLine="540"/>
        <w:jc w:val="both"/>
      </w:pPr>
      <w:r>
        <w:rPr>
          <w:sz w:val="20"/>
        </w:rPr>
        <w:t xml:space="preserve">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pPr>
        <w:pStyle w:val="0"/>
        <w:spacing w:before="200" w:line-rule="auto"/>
        <w:ind w:firstLine="540"/>
        <w:jc w:val="both"/>
      </w:pPr>
      <w:r>
        <w:rPr>
          <w:sz w:val="20"/>
        </w:rPr>
        <w:t xml:space="preserve">в) возврат муниципальными образованиями средств в областной бюджет в соответствии с </w:t>
      </w:r>
      <w:hyperlink w:history="0" w:anchor="P10656" w:tooltip="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7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15</w:t>
        </w:r>
      </w:hyperlink>
      <w:r>
        <w:rPr>
          <w:sz w:val="20"/>
        </w:rPr>
        <w:t xml:space="preserve"> Порядка.</w:t>
      </w:r>
    </w:p>
    <w:bookmarkStart w:id="10614" w:name="P10614"/>
    <w:bookmarkEnd w:id="10614"/>
    <w:p>
      <w:pPr>
        <w:pStyle w:val="0"/>
        <w:spacing w:before="200" w:line-rule="auto"/>
        <w:ind w:firstLine="540"/>
        <w:jc w:val="both"/>
      </w:pPr>
      <w:r>
        <w:rPr>
          <w:sz w:val="20"/>
        </w:rPr>
        <w:t xml:space="preserve">4. Муниципальные образования, бюджетам которых предоставляются субсидии на софинансирование мероприятий,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 должны отвечать следующему критерию:</w:t>
      </w:r>
    </w:p>
    <w:p>
      <w:pPr>
        <w:pStyle w:val="0"/>
        <w:spacing w:before="200" w:line-rule="auto"/>
        <w:ind w:firstLine="540"/>
        <w:jc w:val="both"/>
      </w:pPr>
      <w:r>
        <w:rPr>
          <w:sz w:val="20"/>
        </w:rPr>
        <w:t xml:space="preserve">- доля населения, охваченного услугой по обращению с твердыми коммунальными отходами, - не менее 90 процентов.</w:t>
      </w:r>
    </w:p>
    <w:p>
      <w:pPr>
        <w:pStyle w:val="0"/>
        <w:spacing w:before="200" w:line-rule="auto"/>
        <w:ind w:firstLine="540"/>
        <w:jc w:val="both"/>
      </w:pPr>
      <w:r>
        <w:rPr>
          <w:sz w:val="20"/>
        </w:rPr>
        <w:t xml:space="preserve">5. Объем субсидии (Si), предоставляемой бюджету муниципального образования на осуществление мероприятия, указанного в пункте 2 Порядка, определяется по следующей формуле:</w:t>
      </w:r>
    </w:p>
    <w:p>
      <w:pPr>
        <w:pStyle w:val="0"/>
        <w:ind w:firstLine="540"/>
        <w:jc w:val="both"/>
      </w:pPr>
      <w:r>
        <w:rPr>
          <w:sz w:val="20"/>
        </w:rPr>
      </w:r>
    </w:p>
    <w:p>
      <w:pPr>
        <w:pStyle w:val="0"/>
        <w:jc w:val="center"/>
      </w:pPr>
      <w:r>
        <w:rPr>
          <w:position w:val="-20"/>
        </w:rPr>
        <w:drawing>
          <wp:inline distT="0" distB="0" distL="0" distR="0">
            <wp:extent cx="904875" cy="3810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2">
                      <a:extLst>
                        <a:ext uri="{28A0092B-C50C-407E-A947-70E740481C1C}">
                          <a14:useLocalDpi xmlns:a14="http://schemas.microsoft.com/office/drawing/2010/main" val="0"/>
                        </a:ext>
                      </a:extLst>
                    </a:blip>
                    <a:srcRect/>
                    <a:stretch>
                      <a:fillRect/>
                    </a:stretch>
                  </pic:blipFill>
                  <pic:spPr bwMode="auto">
                    <a:xfrm>
                      <a:off x="0" y="0"/>
                      <a:ext cx="904875" cy="381000"/>
                    </a:xfrm>
                    <a:prstGeom prst="rect">
                      <a:avLst/>
                    </a:prstGeom>
                    <a:noFill/>
                    <a:ln>
                      <a:noFill/>
                    </a:ln>
                  </pic:spPr>
                </pic:pic>
              </a:graphicData>
            </a:graphic>
          </wp:inline>
        </w:drawing>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k - общее количество мероприятий,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 в соответствующем году в i-м муниципальном образовании Белгородской области;</w:t>
      </w:r>
    </w:p>
    <w:p>
      <w:pPr>
        <w:pStyle w:val="0"/>
        <w:spacing w:before="200" w:line-rule="auto"/>
        <w:ind w:firstLine="540"/>
        <w:jc w:val="both"/>
      </w:pPr>
      <w:r>
        <w:rPr>
          <w:sz w:val="20"/>
        </w:rPr>
        <w:t xml:space="preserve">Сj - размер субсидии в соответствующем году на j-й объект.</w:t>
      </w:r>
    </w:p>
    <w:p>
      <w:pPr>
        <w:pStyle w:val="0"/>
        <w:spacing w:before="200" w:line-rule="auto"/>
        <w:ind w:firstLine="540"/>
        <w:jc w:val="both"/>
      </w:pPr>
      <w:r>
        <w:rPr>
          <w:sz w:val="20"/>
        </w:rPr>
        <w:t xml:space="preserve">Сj определяется по формуле:</w:t>
      </w:r>
    </w:p>
    <w:p>
      <w:pPr>
        <w:pStyle w:val="0"/>
        <w:ind w:firstLine="540"/>
        <w:jc w:val="both"/>
      </w:pPr>
      <w:r>
        <w:rPr>
          <w:sz w:val="20"/>
        </w:rPr>
      </w:r>
    </w:p>
    <w:p>
      <w:pPr>
        <w:pStyle w:val="0"/>
        <w:jc w:val="center"/>
      </w:pPr>
      <w:r>
        <w:rPr>
          <w:sz w:val="20"/>
        </w:rPr>
        <w:t xml:space="preserve">Сj = ОПj - Смj,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реализацию мероприятий,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 в i-м муниципальном образовании Белгородской области;</w:t>
      </w:r>
    </w:p>
    <w:p>
      <w:pPr>
        <w:pStyle w:val="0"/>
        <w:spacing w:before="200" w:line-rule="auto"/>
        <w:ind w:firstLine="540"/>
        <w:jc w:val="both"/>
      </w:pPr>
      <w:r>
        <w:rPr>
          <w:sz w:val="20"/>
        </w:rPr>
        <w:t xml:space="preserve">Смj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соответствии с </w:t>
      </w:r>
      <w:hyperlink w:history="0" w:anchor="P10612" w:tooltip="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
        <w:r>
          <w:rPr>
            <w:sz w:val="20"/>
            <w:color w:val="0000ff"/>
          </w:rPr>
          <w:t xml:space="preserve">подпунктом "б" пункта 3</w:t>
        </w:r>
      </w:hyperlink>
      <w:r>
        <w:rPr>
          <w:sz w:val="20"/>
        </w:rPr>
        <w:t xml:space="preserve"> Порядка, в i-м муниципальном образовании Белгородской области.</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 счет средств местного бюджета. При этом дополнительные средства из областного бюджета выделяться не будут.</w:t>
      </w:r>
    </w:p>
    <w:p>
      <w:pPr>
        <w:pStyle w:val="0"/>
        <w:spacing w:before="200" w:line-rule="auto"/>
        <w:ind w:firstLine="540"/>
        <w:jc w:val="both"/>
      </w:pPr>
      <w:r>
        <w:rPr>
          <w:sz w:val="20"/>
        </w:rPr>
        <w:t xml:space="preserve">6. Распределение субсидий между муниципальными образованиями и изменения, связанные с перераспределением (сокращением) субсидии, утверждается законом об областном бюджете на текущий финансовый год и на плановый период.</w:t>
      </w:r>
    </w:p>
    <w:bookmarkStart w:id="10632" w:name="P10632"/>
    <w:bookmarkEnd w:id="10632"/>
    <w:p>
      <w:pPr>
        <w:pStyle w:val="0"/>
        <w:spacing w:before="200" w:line-rule="auto"/>
        <w:ind w:firstLine="540"/>
        <w:jc w:val="both"/>
      </w:pPr>
      <w:r>
        <w:rPr>
          <w:sz w:val="20"/>
        </w:rPr>
        <w:t xml:space="preserve">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bookmarkStart w:id="10634" w:name="P10634"/>
    <w:bookmarkEnd w:id="10634"/>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pPr>
        <w:pStyle w:val="0"/>
        <w:spacing w:before="200" w:line-rule="auto"/>
        <w:ind w:firstLine="540"/>
        <w:jc w:val="both"/>
      </w:pPr>
      <w:r>
        <w:rPr>
          <w:sz w:val="20"/>
        </w:rP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pPr>
        <w:pStyle w:val="0"/>
        <w:spacing w:before="200" w:line-rule="auto"/>
        <w:ind w:firstLine="540"/>
        <w:jc w:val="both"/>
      </w:pPr>
      <w:r>
        <w:rPr>
          <w:sz w:val="20"/>
        </w:rPr>
        <w:t xml:space="preserve">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pPr>
        <w:pStyle w:val="0"/>
        <w:spacing w:before="200" w:line-rule="auto"/>
        <w:ind w:firstLine="540"/>
        <w:jc w:val="both"/>
      </w:pPr>
      <w:r>
        <w:rPr>
          <w:sz w:val="20"/>
        </w:rPr>
        <w:t xml:space="preserve">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pPr>
        <w:pStyle w:val="0"/>
        <w:spacing w:before="200" w:line-rule="auto"/>
        <w:ind w:firstLine="540"/>
        <w:jc w:val="both"/>
      </w:pPr>
      <w:r>
        <w:rPr>
          <w:sz w:val="20"/>
        </w:rPr>
        <w:t xml:space="preserve">е) порядок осуществления контроля за соблюдением муниципальным образованием обязательств, предусмотренных соглашением;</w:t>
      </w:r>
    </w:p>
    <w:p>
      <w:pPr>
        <w:pStyle w:val="0"/>
        <w:spacing w:before="200" w:line-rule="auto"/>
        <w:ind w:firstLine="540"/>
        <w:jc w:val="both"/>
      </w:pPr>
      <w:r>
        <w:rPr>
          <w:sz w:val="20"/>
        </w:rPr>
        <w:t xml:space="preserve">ж) последствия недостижения муниципальным образованием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з) ответственность сторон за нарушение условий соглашения;</w:t>
      </w:r>
    </w:p>
    <w:p>
      <w:pPr>
        <w:pStyle w:val="0"/>
        <w:spacing w:before="200" w:line-rule="auto"/>
        <w:ind w:firstLine="540"/>
        <w:jc w:val="both"/>
      </w:pPr>
      <w:r>
        <w:rPr>
          <w:sz w:val="20"/>
        </w:rPr>
        <w:t xml:space="preserve">и) иные условия, определяемые по соглашению сторон, регулирующему порядок предоставления субсидий;</w:t>
      </w:r>
    </w:p>
    <w:p>
      <w:pPr>
        <w:pStyle w:val="0"/>
        <w:spacing w:before="200" w:line-rule="auto"/>
        <w:ind w:firstLine="540"/>
        <w:jc w:val="both"/>
      </w:pPr>
      <w:r>
        <w:rPr>
          <w:sz w:val="20"/>
        </w:rPr>
        <w:t xml:space="preserve">к) условие о вступлении в силу соглашения.</w:t>
      </w:r>
    </w:p>
    <w:p>
      <w:pPr>
        <w:pStyle w:val="0"/>
        <w:spacing w:before="200" w:line-rule="auto"/>
        <w:ind w:firstLine="540"/>
        <w:jc w:val="both"/>
      </w:pPr>
      <w:r>
        <w:rPr>
          <w:sz w:val="20"/>
        </w:rPr>
        <w:t xml:space="preserve">8. Соглашение, указанное в </w:t>
      </w:r>
      <w:hyperlink w:history="0" w:anchor="P10632" w:tooltip="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
        <w:r>
          <w:rPr>
            <w:sz w:val="20"/>
            <w:color w:val="0000ff"/>
          </w:rPr>
          <w:t xml:space="preserve">пункте 7</w:t>
        </w:r>
      </w:hyperlink>
      <w:r>
        <w:rPr>
          <w:sz w:val="20"/>
        </w:rPr>
        <w:t xml:space="preserve"> Порядка, подготавливается и направляется муниципальным образованиям главным распорядителем средств областного бюджета.</w:t>
      </w:r>
    </w:p>
    <w:p>
      <w:pPr>
        <w:pStyle w:val="0"/>
        <w:spacing w:before="200" w:line-rule="auto"/>
        <w:ind w:firstLine="540"/>
        <w:jc w:val="both"/>
      </w:pPr>
      <w:r>
        <w:rPr>
          <w:sz w:val="20"/>
        </w:rPr>
        <w:t xml:space="preserve">9. 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программы, а также в случае существенного (более чем на 20 процентов) сокращения размера субсидии.</w:t>
      </w:r>
    </w:p>
    <w:p>
      <w:pPr>
        <w:pStyle w:val="0"/>
        <w:spacing w:before="200" w:line-rule="auto"/>
        <w:ind w:firstLine="540"/>
        <w:jc w:val="both"/>
      </w:pPr>
      <w:r>
        <w:rPr>
          <w:sz w:val="20"/>
        </w:rPr>
        <w:t xml:space="preserve">10. Перечисление субсидий осуществляется в установленном порядке на счета, открытые Управлению Федерального казначейства по Белгородской области в учреждениях Центрального банка Российской Федерации для учета операций со средствами бюджетов муниципальных образований.</w:t>
      </w:r>
    </w:p>
    <w:p>
      <w:pPr>
        <w:pStyle w:val="0"/>
        <w:spacing w:before="200" w:line-rule="auto"/>
        <w:ind w:firstLine="540"/>
        <w:jc w:val="both"/>
      </w:pPr>
      <w:r>
        <w:rPr>
          <w:sz w:val="20"/>
        </w:rPr>
        <w:t xml:space="preserve">11. Перечисление средств субсидии в бюджет муниципального образования на реализацию мероприятий,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pPr>
        <w:pStyle w:val="0"/>
        <w:spacing w:before="200" w:line-rule="auto"/>
        <w:ind w:firstLine="540"/>
        <w:jc w:val="both"/>
      </w:pPr>
      <w:r>
        <w:rPr>
          <w:sz w:val="20"/>
        </w:rPr>
        <w:t xml:space="preserve">12.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pPr>
        <w:pStyle w:val="0"/>
        <w:spacing w:before="200" w:line-rule="auto"/>
        <w:ind w:firstLine="540"/>
        <w:jc w:val="both"/>
      </w:pPr>
      <w:r>
        <w:rPr>
          <w:sz w:val="20"/>
        </w:rPr>
        <w:t xml:space="preserve">13. Муниципальное образование предоставляет главному распорядителю средств областного бюджета:</w:t>
      </w:r>
    </w:p>
    <w:p>
      <w:pPr>
        <w:pStyle w:val="0"/>
        <w:spacing w:before="200" w:line-rule="auto"/>
        <w:ind w:firstLine="540"/>
        <w:jc w:val="both"/>
      </w:pPr>
      <w:r>
        <w:rPr>
          <w:sz w:val="20"/>
        </w:rPr>
        <w:t xml:space="preserve">а) информацию, указанную в </w:t>
      </w:r>
      <w:hyperlink w:history="0" w:anchor="P10614" w:tooltip="4. Муниципальные образования, бюджетам которых предоставляются субсидии на софинансирование мероприятий, указанных в пункте 2 Порядка, должны отвечать следующему критерию:">
        <w:r>
          <w:rPr>
            <w:sz w:val="20"/>
            <w:color w:val="0000ff"/>
          </w:rPr>
          <w:t xml:space="preserve">пункте 4</w:t>
        </w:r>
      </w:hyperlink>
      <w:r>
        <w:rPr>
          <w:sz w:val="20"/>
        </w:rPr>
        <w:t xml:space="preserve"> Порядка, по форме, представленной главным распорядителем средств областного бюджета;</w:t>
      </w:r>
    </w:p>
    <w:p>
      <w:pPr>
        <w:pStyle w:val="0"/>
        <w:spacing w:before="200" w:line-rule="auto"/>
        <w:ind w:firstLine="540"/>
        <w:jc w:val="both"/>
      </w:pPr>
      <w:r>
        <w:rPr>
          <w:sz w:val="20"/>
        </w:rPr>
        <w:t xml:space="preserve">б)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w:t>
      </w:r>
    </w:p>
    <w:p>
      <w:pPr>
        <w:pStyle w:val="0"/>
        <w:spacing w:before="200" w:line-rule="auto"/>
        <w:ind w:firstLine="540"/>
        <w:jc w:val="both"/>
      </w:pPr>
      <w:r>
        <w:rPr>
          <w:sz w:val="20"/>
        </w:rPr>
        <w:t xml:space="preserve">в) муниципальную программу (подпрограмму), предусматривающую реализацию мероприятий по созданию эффективных механизмов управления в области обращения с твердыми коммунальными отходами;</w:t>
      </w:r>
    </w:p>
    <w:p>
      <w:pPr>
        <w:pStyle w:val="0"/>
        <w:spacing w:before="200" w:line-rule="auto"/>
        <w:ind w:firstLine="540"/>
        <w:jc w:val="both"/>
      </w:pPr>
      <w:r>
        <w:rPr>
          <w:sz w:val="20"/>
        </w:rPr>
        <w:t xml:space="preserve">г)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w:history="0" r:id="rId243"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(форма N КС-2), справки о стоимости выполненных работ и затрат (форма N КС-3), в сроки, установленные главным распорядителем средств областного бюджета;</w:t>
      </w:r>
    </w:p>
    <w:p>
      <w:pPr>
        <w:pStyle w:val="0"/>
        <w:spacing w:before="200" w:line-rule="auto"/>
        <w:ind w:firstLine="540"/>
        <w:jc w:val="both"/>
      </w:pPr>
      <w:r>
        <w:rPr>
          <w:sz w:val="20"/>
        </w:rPr>
        <w:t xml:space="preserve">д)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w:t>
      </w:r>
    </w:p>
    <w:p>
      <w:pPr>
        <w:pStyle w:val="0"/>
        <w:spacing w:before="200" w:line-rule="auto"/>
        <w:ind w:firstLine="540"/>
        <w:jc w:val="both"/>
      </w:pPr>
      <w:r>
        <w:rPr>
          <w:sz w:val="20"/>
        </w:rPr>
        <w:t xml:space="preserve">е) отчет о расходах бюджетных ассигнований муниципального образования, источником финансового обеспечения которых является субсидия, - ежемесячно до 10 числа месяца, следующего за отчетным месяцем, независимо от проведенных расходов бюджета муниципального образования.</w:t>
      </w:r>
    </w:p>
    <w:p>
      <w:pPr>
        <w:pStyle w:val="0"/>
        <w:spacing w:before="200" w:line-rule="auto"/>
        <w:ind w:firstLine="540"/>
        <w:jc w:val="both"/>
      </w:pPr>
      <w:r>
        <w:rPr>
          <w:sz w:val="20"/>
        </w:rPr>
        <w:t xml:space="preserve">14. Ответственность за достоверность представляемых сведений, целевое и эффективное использование субсидий несут муниципальные образования.</w:t>
      </w:r>
    </w:p>
    <w:bookmarkStart w:id="10656" w:name="P10656"/>
    <w:bookmarkEnd w:id="10656"/>
    <w:p>
      <w:pPr>
        <w:pStyle w:val="0"/>
        <w:spacing w:before="200" w:line-rule="auto"/>
        <w:ind w:firstLine="540"/>
        <w:jc w:val="both"/>
      </w:pPr>
      <w:r>
        <w:rPr>
          <w:sz w:val="20"/>
        </w:rPr>
        <w:t xml:space="preserve">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history="0" w:anchor="P10634" w:tooltip="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
        <w:r>
          <w:rPr>
            <w:sz w:val="20"/>
            <w:color w:val="0000ff"/>
          </w:rPr>
          <w:t xml:space="preserve">подпунктом "б" пункта 7</w:t>
        </w:r>
      </w:hyperlink>
      <w:r>
        <w:rPr>
          <w:sz w:val="20"/>
        </w:rP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sz w:val="20"/>
          <w:vertAlign w:val="subscript"/>
        </w:rPr>
        <w:t xml:space="preserve">возврат</w:t>
      </w:r>
      <w:r>
        <w:rPr>
          <w:sz w:val="20"/>
        </w:rPr>
        <w:t xml:space="preserve">), рассчитывается по формуле:</w:t>
      </w:r>
    </w:p>
    <w:p>
      <w:pPr>
        <w:pStyle w:val="0"/>
        <w:ind w:firstLine="540"/>
        <w:jc w:val="both"/>
      </w:pPr>
      <w:r>
        <w:rPr>
          <w:sz w:val="20"/>
        </w:rPr>
      </w:r>
    </w:p>
    <w:p>
      <w:pPr>
        <w:pStyle w:val="0"/>
        <w:jc w:val="center"/>
      </w:pPr>
      <w:r>
        <w:rPr>
          <w:sz w:val="20"/>
        </w:rPr>
        <w:t xml:space="preserve">V</w:t>
      </w:r>
      <w:r>
        <w:rPr>
          <w:sz w:val="20"/>
          <w:vertAlign w:val="subscript"/>
        </w:rPr>
        <w:t xml:space="preserve">возврат</w:t>
      </w:r>
      <w:r>
        <w:rPr>
          <w:sz w:val="20"/>
        </w:rPr>
        <w:t xml:space="preserve"> = (V</w:t>
      </w:r>
      <w:r>
        <w:rPr>
          <w:sz w:val="20"/>
          <w:vertAlign w:val="subscript"/>
        </w:rPr>
        <w:t xml:space="preserve">субсидии</w:t>
      </w:r>
      <w:r>
        <w:rPr>
          <w:sz w:val="20"/>
        </w:rPr>
        <w:t xml:space="preserve"> x k x m / n) x 0,1,</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субсидии</w:t>
      </w:r>
      <w:r>
        <w:rPr>
          <w:sz w:val="20"/>
        </w:rPr>
        <w:t xml:space="preserve"> - размер субсидии, предоставленной бюджету муниципального образования;</w:t>
      </w:r>
    </w:p>
    <w:p>
      <w:pPr>
        <w:pStyle w:val="0"/>
        <w:spacing w:before="200" w:line-rule="auto"/>
        <w:ind w:firstLine="540"/>
        <w:jc w:val="both"/>
      </w:pPr>
      <w:r>
        <w:rPr>
          <w:sz w:val="20"/>
        </w:rPr>
        <w:t xml:space="preserve">m - количество показателей результативности использования субсидии, которым индекс, отражающий уровень недостижения i-го показателя результативности использования субсидии, имеет положительное значение;</w:t>
      </w:r>
    </w:p>
    <w:p>
      <w:pPr>
        <w:pStyle w:val="0"/>
        <w:spacing w:before="200" w:line-rule="auto"/>
        <w:ind w:firstLine="540"/>
        <w:jc w:val="both"/>
      </w:pPr>
      <w:r>
        <w:rPr>
          <w:sz w:val="20"/>
        </w:rPr>
        <w:t xml:space="preserve">n - общее количество показателей результативности использования субсидии;</w:t>
      </w:r>
    </w:p>
    <w:p>
      <w:pPr>
        <w:pStyle w:val="0"/>
        <w:spacing w:before="200" w:line-rule="auto"/>
        <w:ind w:firstLine="540"/>
        <w:jc w:val="both"/>
      </w:pPr>
      <w:r>
        <w:rPr>
          <w:sz w:val="20"/>
        </w:rPr>
        <w:t xml:space="preserve">k - коэффициент возврата субсидии.</w:t>
      </w:r>
    </w:p>
    <w:p>
      <w:pPr>
        <w:pStyle w:val="0"/>
        <w:spacing w:before="200" w:line-rule="auto"/>
        <w:ind w:firstLine="540"/>
        <w:jc w:val="both"/>
      </w:pPr>
      <w:r>
        <w:rPr>
          <w:sz w:val="20"/>
        </w:rPr>
        <w:t xml:space="preserve">16. Коэффициент возврата субсидии рассчитывается по формуле:</w:t>
      </w:r>
    </w:p>
    <w:p>
      <w:pPr>
        <w:pStyle w:val="0"/>
        <w:ind w:firstLine="540"/>
        <w:jc w:val="both"/>
      </w:pPr>
      <w:r>
        <w:rPr>
          <w:sz w:val="20"/>
        </w:rPr>
      </w:r>
    </w:p>
    <w:p>
      <w:pPr>
        <w:pStyle w:val="0"/>
        <w:jc w:val="center"/>
      </w:pPr>
      <w:r>
        <w:rPr>
          <w:sz w:val="20"/>
        </w:rPr>
        <w:t xml:space="preserve">k = SUM Di / m,</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17. Индекс, отражающий уровень недостижения i-го показателя результативности использования субсидии, определяется:</w:t>
      </w:r>
    </w:p>
    <w:p>
      <w:pPr>
        <w:pStyle w:val="0"/>
        <w:spacing w:before="200" w:line-rule="auto"/>
        <w:ind w:firstLine="540"/>
        <w:jc w:val="both"/>
      </w:pPr>
      <w:r>
        <w:rPr>
          <w:sz w:val="20"/>
        </w:rPr>
        <w:t xml:space="preserve">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T</w:t>
      </w:r>
      <w:r>
        <w:rPr>
          <w:sz w:val="20"/>
          <w:vertAlign w:val="subscript"/>
        </w:rPr>
        <w:t xml:space="preserve">i</w:t>
      </w:r>
      <w:r>
        <w:rPr>
          <w:sz w:val="20"/>
        </w:rPr>
        <w:t xml:space="preserve"> / S</w:t>
      </w:r>
      <w:r>
        <w:rPr>
          <w:sz w:val="20"/>
          <w:vertAlign w:val="subscript"/>
        </w:rPr>
        <w:t xml:space="preserve">i</w:t>
      </w:r>
      <w:r>
        <w:rPr>
          <w:sz w:val="20"/>
        </w:rPr>
        <w:t xml:space="preserve">,</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T</w:t>
      </w:r>
      <w:r>
        <w:rPr>
          <w:sz w:val="20"/>
          <w:vertAlign w:val="subscript"/>
        </w:rPr>
        <w:t xml:space="preserve">i</w:t>
      </w:r>
      <w:r>
        <w:rPr>
          <w:sz w:val="20"/>
        </w:rPr>
        <w:t xml:space="preserve"> - фактически достигнутое значение i-го показателя результативности использования субсидии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i-го показателя результативности использования субсидии, установленное соглашением;</w:t>
      </w:r>
    </w:p>
    <w:p>
      <w:pPr>
        <w:pStyle w:val="0"/>
        <w:spacing w:before="200" w:line-rule="auto"/>
        <w:ind w:firstLine="540"/>
        <w:jc w:val="both"/>
      </w:pPr>
      <w:r>
        <w:rPr>
          <w:sz w:val="20"/>
        </w:rPr>
        <w:t xml:space="preserve">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Si / Ti</w:t>
      </w:r>
    </w:p>
    <w:p>
      <w:pPr>
        <w:pStyle w:val="0"/>
        <w:ind w:firstLine="540"/>
        <w:jc w:val="both"/>
      </w:pPr>
      <w:r>
        <w:rPr>
          <w:sz w:val="20"/>
        </w:rPr>
      </w:r>
    </w:p>
    <w:p>
      <w:pPr>
        <w:pStyle w:val="0"/>
        <w:ind w:firstLine="540"/>
        <w:jc w:val="both"/>
      </w:pPr>
      <w:r>
        <w:rPr>
          <w:sz w:val="20"/>
        </w:rPr>
        <w:t xml:space="preserve">18. Основанием для освобождения муниципальных образований от применения мер ответственности, предусмотренных </w:t>
      </w:r>
      <w:hyperlink w:history="0" w:anchor="P10656" w:tooltip="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7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15</w:t>
        </w:r>
      </w:hyperlink>
      <w:r>
        <w:rPr>
          <w:sz w:val="20"/>
        </w:rP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pPr>
        <w:pStyle w:val="0"/>
        <w:spacing w:before="200" w:line-rule="auto"/>
        <w:ind w:firstLine="540"/>
        <w:jc w:val="both"/>
      </w:pPr>
      <w:r>
        <w:rPr>
          <w:sz w:val="20"/>
        </w:rPr>
        <w:t xml:space="preserve">В случае отсутствия оснований для освобождения муниципальных образований от применения мер ответственности, предусмотренных пунктом 15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w:t>
      </w:r>
      <w:hyperlink w:history="0" w:anchor="P10656" w:tooltip="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7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15</w:t>
        </w:r>
      </w:hyperlink>
      <w:r>
        <w:rPr>
          <w:sz w:val="20"/>
        </w:rPr>
        <w:t xml:space="preserve"> Порядка, на иные цели.</w:t>
      </w:r>
    </w:p>
    <w:p>
      <w:pPr>
        <w:pStyle w:val="0"/>
        <w:spacing w:before="200" w:line-rule="auto"/>
        <w:ind w:firstLine="540"/>
        <w:jc w:val="both"/>
      </w:pPr>
      <w:r>
        <w:rPr>
          <w:sz w:val="20"/>
        </w:rPr>
        <w:t xml:space="preserve">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15 Порядка, к нему применяются бюджетные меры принуждения, предусмотренные бюджетным законодательством Российской Федерации.</w:t>
      </w:r>
    </w:p>
    <w:p>
      <w:pPr>
        <w:pStyle w:val="0"/>
        <w:spacing w:before="200" w:line-rule="auto"/>
        <w:ind w:firstLine="540"/>
        <w:jc w:val="both"/>
      </w:pPr>
      <w:r>
        <w:rPr>
          <w:sz w:val="20"/>
        </w:rPr>
        <w:t xml:space="preserve">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20. Остаток неиспользованных в текущем финансовом году субсидий, полученный в результате экономии средств при выполнении мероприятий, указанных в </w:t>
      </w:r>
      <w:hyperlink w:history="0" w:anchor="P10601"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следующие мероприятия по созданию эффективных механизмов управления в област...">
        <w:r>
          <w:rPr>
            <w:sz w:val="20"/>
            <w:color w:val="0000ff"/>
          </w:rPr>
          <w:t xml:space="preserve">пункте 2</w:t>
        </w:r>
      </w:hyperlink>
      <w:r>
        <w:rPr>
          <w:sz w:val="20"/>
        </w:rP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pPr>
        <w:pStyle w:val="0"/>
        <w:spacing w:before="200" w:line-rule="auto"/>
        <w:ind w:firstLine="540"/>
        <w:jc w:val="both"/>
      </w:pPr>
      <w:r>
        <w:rPr>
          <w:sz w:val="20"/>
        </w:rPr>
        <w:t xml:space="preserve">Неиспользованный объем субсидий перераспределяется между муниципальными образованиями в соответствии с Порядком.</w:t>
      </w:r>
    </w:p>
    <w:p>
      <w:pPr>
        <w:pStyle w:val="0"/>
        <w:spacing w:before="200" w:line-rule="auto"/>
        <w:ind w:firstLine="540"/>
        <w:jc w:val="both"/>
      </w:pPr>
      <w:r>
        <w:rPr>
          <w:sz w:val="20"/>
        </w:rPr>
        <w:t xml:space="preserve">21. Эффективность использования субсидий оценивается ежегодно главным распорядителем средств областного бюджета на основе показателей результативности использования субсидий, которыми являются реализованные мероприятия.</w:t>
      </w:r>
    </w:p>
    <w:p>
      <w:pPr>
        <w:pStyle w:val="0"/>
        <w:spacing w:before="200" w:line-rule="auto"/>
        <w:ind w:firstLine="540"/>
        <w:jc w:val="both"/>
      </w:pPr>
      <w:r>
        <w:rPr>
          <w:sz w:val="20"/>
        </w:rPr>
        <w:t xml:space="preserve">22.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pPr>
        <w:pStyle w:val="0"/>
        <w:spacing w:before="200" w:line-rule="auto"/>
        <w:ind w:firstLine="540"/>
        <w:jc w:val="both"/>
      </w:pPr>
      <w:r>
        <w:rPr>
          <w:sz w:val="20"/>
        </w:rPr>
        <w:t xml:space="preserve">Органы государственного финансового контроля осуществляют контроль в соответствии с их полномочиями, установленными Бюджетным </w:t>
      </w:r>
      <w:hyperlink w:history="0" r:id="rId244"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и иными нормативными правовыми актами Российской Федерации и Белгородской области.</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10</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10704" w:name="P10704"/>
    <w:bookmarkEnd w:id="10704"/>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ликвидацию (рекультивацию) объектов</w:t>
      </w:r>
    </w:p>
    <w:p>
      <w:pPr>
        <w:pStyle w:val="2"/>
        <w:jc w:val="center"/>
      </w:pPr>
      <w:r>
        <w:rPr>
          <w:sz w:val="20"/>
        </w:rPr>
        <w:t xml:space="preserve">накопленного вреда окружающей среде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45"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20.07.2020 N 326-пп;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22.03.2021 </w:t>
            </w:r>
            <w:hyperlink w:history="0" r:id="rId246" w:tooltip="Постановление Правительства Белгородской обл. от 22.03.2021 N 10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104-пп</w:t>
              </w:r>
            </w:hyperlink>
            <w:r>
              <w:rPr>
                <w:sz w:val="20"/>
                <w:color w:val="392c69"/>
              </w:rPr>
              <w:t xml:space="preserve">, от 25.10.2021 </w:t>
            </w:r>
            <w:hyperlink w:history="0" r:id="rId247"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 от 17.01.2022 </w:t>
            </w:r>
            <w:hyperlink w:history="0" r:id="rId248"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муниципальных образований Белгородской области на ликвидацию (рекультивацию) объектов накопленного вреда окружающей среде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ликвидацию (рекультивацию) объектов накопленного вреда окружающей среде в рамках реализации </w:t>
      </w:r>
      <w:hyperlink w:history="0" w:anchor="P1966" w:tooltip="Паспорт">
        <w:r>
          <w:rPr>
            <w:sz w:val="20"/>
            <w:color w:val="0000ff"/>
          </w:rPr>
          <w:t xml:space="preserve">подпрограммы</w:t>
        </w:r>
      </w:hyperlink>
      <w:r>
        <w:rPr>
          <w:sz w:val="20"/>
        </w:rP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bookmarkStart w:id="10716" w:name="P10716"/>
    <w:bookmarkEnd w:id="10716"/>
    <w:p>
      <w:pPr>
        <w:pStyle w:val="0"/>
        <w:spacing w:before="200" w:line-rule="auto"/>
        <w:ind w:firstLine="540"/>
        <w:jc w:val="both"/>
      </w:pPr>
      <w:r>
        <w:rPr>
          <w:sz w:val="20"/>
        </w:rPr>
        <w:t xml:space="preserve">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окружающей среде.</w:t>
      </w:r>
    </w:p>
    <w:p>
      <w:pPr>
        <w:pStyle w:val="0"/>
        <w:jc w:val="both"/>
      </w:pPr>
      <w:r>
        <w:rPr>
          <w:sz w:val="20"/>
        </w:rPr>
        <w:t xml:space="preserve">(в ред. </w:t>
      </w:r>
      <w:hyperlink w:history="0" r:id="rId249"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3. Субсидии предоставляются бюджетам муниципальных образований на следующих условиях:</w:t>
      </w:r>
    </w:p>
    <w:p>
      <w:pPr>
        <w:pStyle w:val="0"/>
        <w:spacing w:before="200" w:line-rule="auto"/>
        <w:ind w:firstLine="540"/>
        <w:jc w:val="both"/>
      </w:pPr>
      <w:r>
        <w:rPr>
          <w:sz w:val="20"/>
        </w:rPr>
        <w:t xml:space="preserve">а) наличие муниципальных программ (подпрограмм), предусматривающих реализацию мероприятий по ликвидации (рекультивации) объектов накопленного вреда окружающей среде;</w:t>
      </w:r>
    </w:p>
    <w:p>
      <w:pPr>
        <w:pStyle w:val="0"/>
        <w:spacing w:before="200" w:line-rule="auto"/>
        <w:ind w:firstLine="540"/>
        <w:jc w:val="both"/>
      </w:pPr>
      <w:r>
        <w:rPr>
          <w:sz w:val="20"/>
        </w:rPr>
        <w:t xml:space="preserve">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w:t>
      </w:r>
    </w:p>
    <w:p>
      <w:pPr>
        <w:pStyle w:val="0"/>
        <w:spacing w:before="200" w:line-rule="auto"/>
        <w:ind w:firstLine="540"/>
        <w:jc w:val="both"/>
      </w:pPr>
      <w:r>
        <w:rPr>
          <w:sz w:val="20"/>
        </w:rPr>
        <w:t xml:space="preserve">в) разработанная проектно-сметная документация, включая положительное заключение государственной экологической экспертизы и заключение о проверке достоверности определения сметной стоимости природоохранных проектов.</w:t>
      </w:r>
    </w:p>
    <w:p>
      <w:pPr>
        <w:pStyle w:val="0"/>
        <w:spacing w:before="200" w:line-rule="auto"/>
        <w:ind w:firstLine="540"/>
        <w:jc w:val="both"/>
      </w:pPr>
      <w:r>
        <w:rPr>
          <w:sz w:val="20"/>
        </w:rPr>
        <w:t xml:space="preserve">4. Муниципальные образования, бюджетам которых предоставляются субсидии на софинансирование мероприятий, указанных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должны отвечать следующим критериям:</w:t>
      </w:r>
    </w:p>
    <w:p>
      <w:pPr>
        <w:pStyle w:val="0"/>
        <w:spacing w:before="200" w:line-rule="auto"/>
        <w:ind w:firstLine="540"/>
        <w:jc w:val="both"/>
      </w:pPr>
      <w:r>
        <w:rPr>
          <w:sz w:val="20"/>
        </w:rPr>
        <w:t xml:space="preserve">а) наличие объекта накопленного вреда окружающей среде, включенного в государственный реестр объектов накопленного вреда окружающей среде;</w:t>
      </w:r>
    </w:p>
    <w:p>
      <w:pPr>
        <w:pStyle w:val="0"/>
        <w:spacing w:before="200" w:line-rule="auto"/>
        <w:ind w:firstLine="540"/>
        <w:jc w:val="both"/>
      </w:pPr>
      <w:r>
        <w:rPr>
          <w:sz w:val="20"/>
        </w:rPr>
        <w:t xml:space="preserve">б) земельные участки, отнесенные к объектам накопленного вреда окружающей среде, находятся в собственности субъекта Российской Федерации и (или) муниципальной собственности;</w:t>
      </w:r>
    </w:p>
    <w:p>
      <w:pPr>
        <w:pStyle w:val="0"/>
        <w:spacing w:before="200" w:line-rule="auto"/>
        <w:ind w:firstLine="540"/>
        <w:jc w:val="both"/>
      </w:pPr>
      <w:r>
        <w:rPr>
          <w:sz w:val="20"/>
        </w:rPr>
        <w:t xml:space="preserve">5. Объем субсидии (Si), предоставляемой бюджету муниципального образования на осуществление мероприятия, указанного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определяется по следующей формуле:</w:t>
      </w:r>
    </w:p>
    <w:p>
      <w:pPr>
        <w:pStyle w:val="0"/>
        <w:ind w:firstLine="540"/>
        <w:jc w:val="both"/>
      </w:pPr>
      <w:r>
        <w:rPr>
          <w:sz w:val="20"/>
        </w:rPr>
      </w:r>
    </w:p>
    <w:p>
      <w:pPr>
        <w:pStyle w:val="0"/>
        <w:jc w:val="center"/>
      </w:pPr>
      <w:r>
        <w:rPr>
          <w:position w:val="-20"/>
        </w:rPr>
        <w:drawing>
          <wp:inline distT="0" distB="0" distL="0" distR="0">
            <wp:extent cx="990600" cy="3810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a:extLst>
                        <a:ext uri="{28A0092B-C50C-407E-A947-70E740481C1C}">
                          <a14:useLocalDpi xmlns:a14="http://schemas.microsoft.com/office/drawing/2010/main" val="0"/>
                        </a:ext>
                      </a:extLst>
                    </a:blip>
                    <a:srcRect/>
                    <a:stretch>
                      <a:fillRect/>
                    </a:stretch>
                  </pic:blipFill>
                  <pic:spPr bwMode="auto">
                    <a:xfrm>
                      <a:off x="0" y="0"/>
                      <a:ext cx="990600" cy="381000"/>
                    </a:xfrm>
                    <a:prstGeom prst="rect">
                      <a:avLst/>
                    </a:prstGeom>
                    <a:noFill/>
                    <a:ln>
                      <a:noFill/>
                    </a:ln>
                  </pic:spPr>
                </pic:pic>
              </a:graphicData>
            </a:graphic>
          </wp:inline>
        </w:drawing>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к - общее количество мероприятий в соответствующем году в i-м муниципальном образовании Белгородской области;</w:t>
      </w:r>
    </w:p>
    <w:p>
      <w:pPr>
        <w:pStyle w:val="0"/>
        <w:spacing w:before="200" w:line-rule="auto"/>
        <w:ind w:firstLine="540"/>
        <w:jc w:val="both"/>
      </w:pPr>
      <w:r>
        <w:rPr>
          <w:sz w:val="20"/>
        </w:rPr>
        <w:t xml:space="preserve">Сj - размер субсидии в соответствующем году на j-й объект.</w:t>
      </w:r>
    </w:p>
    <w:p>
      <w:pPr>
        <w:pStyle w:val="0"/>
        <w:spacing w:before="200" w:line-rule="auto"/>
        <w:ind w:firstLine="540"/>
        <w:jc w:val="both"/>
      </w:pPr>
      <w:r>
        <w:rPr>
          <w:sz w:val="20"/>
        </w:rPr>
        <w:t xml:space="preserve">Сj определяется по формуле:</w:t>
      </w:r>
    </w:p>
    <w:p>
      <w:pPr>
        <w:pStyle w:val="0"/>
        <w:jc w:val="center"/>
      </w:pPr>
      <w:r>
        <w:rPr>
          <w:sz w:val="20"/>
        </w:rPr>
      </w:r>
    </w:p>
    <w:p>
      <w:pPr>
        <w:pStyle w:val="0"/>
        <w:jc w:val="center"/>
      </w:pPr>
      <w:r>
        <w:rPr>
          <w:sz w:val="20"/>
        </w:rPr>
        <w:t xml:space="preserve">Сj = ОПj - (Сfj) - СМj,</w:t>
      </w:r>
    </w:p>
    <w:p>
      <w:pPr>
        <w:pStyle w:val="0"/>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реализацию мероприятий, указанных в пункте 2 Порядка, в i-м муниципальном образовании Белгородской области;</w:t>
      </w:r>
    </w:p>
    <w:p>
      <w:pPr>
        <w:pStyle w:val="0"/>
        <w:spacing w:before="200" w:line-rule="auto"/>
        <w:ind w:firstLine="540"/>
        <w:jc w:val="both"/>
      </w:pPr>
      <w:r>
        <w:rPr>
          <w:sz w:val="20"/>
        </w:rPr>
        <w:t xml:space="preserve">Сfj - объем средств федерального бюджета, предусмотренных на реализацию мероприятий, указанных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в i-м муниципальном образовании Белгородской области (при условии предоставления денежных ассигнований из средств федерального бюджета);</w:t>
      </w:r>
    </w:p>
    <w:p>
      <w:pPr>
        <w:pStyle w:val="0"/>
        <w:spacing w:before="200" w:line-rule="auto"/>
        <w:ind w:firstLine="540"/>
        <w:jc w:val="both"/>
      </w:pPr>
      <w:r>
        <w:rPr>
          <w:sz w:val="20"/>
        </w:rPr>
        <w:t xml:space="preserve">СМj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благоустройство в целях софинансирования в i-м муниципальном образовании Белгородской области.</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 счет средств местного бюджета. При этом дополнительные средства из областного бюджета выделяться не будут.</w:t>
      </w:r>
    </w:p>
    <w:p>
      <w:pPr>
        <w:pStyle w:val="0"/>
        <w:jc w:val="both"/>
      </w:pPr>
      <w:r>
        <w:rPr>
          <w:sz w:val="20"/>
        </w:rPr>
        <w:t xml:space="preserve">(п. 5 в ред. </w:t>
      </w:r>
      <w:hyperlink w:history="0" r:id="rId251"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p>
      <w:pPr>
        <w:pStyle w:val="0"/>
        <w:spacing w:before="200" w:line-rule="auto"/>
        <w:ind w:firstLine="540"/>
        <w:jc w:val="both"/>
      </w:pPr>
      <w:r>
        <w:rPr>
          <w:sz w:val="20"/>
        </w:rPr>
        <w:t xml:space="preserve">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июля года, предшествующего очередному финансовому году.</w:t>
      </w:r>
    </w:p>
    <w:bookmarkStart w:id="10743" w:name="P10743"/>
    <w:bookmarkEnd w:id="10743"/>
    <w:p>
      <w:pPr>
        <w:pStyle w:val="0"/>
        <w:spacing w:before="200" w:line-rule="auto"/>
        <w:ind w:firstLine="540"/>
        <w:jc w:val="both"/>
      </w:pPr>
      <w:r>
        <w:rPr>
          <w:sz w:val="20"/>
        </w:rPr>
        <w:t xml:space="preserve">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bookmarkStart w:id="10745" w:name="P10745"/>
    <w:bookmarkEnd w:id="10745"/>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pPr>
        <w:pStyle w:val="0"/>
        <w:spacing w:before="200" w:line-rule="auto"/>
        <w:ind w:firstLine="540"/>
        <w:jc w:val="both"/>
      </w:pPr>
      <w:r>
        <w:rPr>
          <w:sz w:val="20"/>
        </w:rP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pPr>
        <w:pStyle w:val="0"/>
        <w:spacing w:before="200" w:line-rule="auto"/>
        <w:ind w:firstLine="540"/>
        <w:jc w:val="both"/>
      </w:pPr>
      <w:r>
        <w:rPr>
          <w:sz w:val="20"/>
        </w:rPr>
        <w:t xml:space="preserve">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pPr>
        <w:pStyle w:val="0"/>
        <w:spacing w:before="200" w:line-rule="auto"/>
        <w:ind w:firstLine="540"/>
        <w:jc w:val="both"/>
      </w:pPr>
      <w:r>
        <w:rPr>
          <w:sz w:val="20"/>
        </w:rPr>
        <w:t xml:space="preserve">д) сроки и порядок предоставления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pPr>
        <w:pStyle w:val="0"/>
        <w:spacing w:before="200" w:line-rule="auto"/>
        <w:ind w:firstLine="540"/>
        <w:jc w:val="both"/>
      </w:pPr>
      <w:r>
        <w:rPr>
          <w:sz w:val="20"/>
        </w:rPr>
        <w:t xml:space="preserve">е) порядок осуществления контроля за соблюдением муниципальным образованием обязательств, предусмотренных соглашением;</w:t>
      </w:r>
    </w:p>
    <w:p>
      <w:pPr>
        <w:pStyle w:val="0"/>
        <w:spacing w:before="200" w:line-rule="auto"/>
        <w:ind w:firstLine="540"/>
        <w:jc w:val="both"/>
      </w:pPr>
      <w:r>
        <w:rPr>
          <w:sz w:val="20"/>
        </w:rPr>
        <w:t xml:space="preserve">ж) последствия недостижения муниципальным образованием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з) ответственность сторон за нарушение условий соглашения;</w:t>
      </w:r>
    </w:p>
    <w:p>
      <w:pPr>
        <w:pStyle w:val="0"/>
        <w:spacing w:before="200" w:line-rule="auto"/>
        <w:ind w:firstLine="540"/>
        <w:jc w:val="both"/>
      </w:pPr>
      <w:r>
        <w:rPr>
          <w:sz w:val="20"/>
        </w:rPr>
        <w:t xml:space="preserve">и) иные условия, определяемые по соглашению сторон, регулирующему порядок предоставления субсидий;</w:t>
      </w:r>
    </w:p>
    <w:p>
      <w:pPr>
        <w:pStyle w:val="0"/>
        <w:spacing w:before="200" w:line-rule="auto"/>
        <w:ind w:firstLine="540"/>
        <w:jc w:val="both"/>
      </w:pPr>
      <w:r>
        <w:rPr>
          <w:sz w:val="20"/>
        </w:rPr>
        <w:t xml:space="preserve">к) условие о вступлении в силу соглашения.</w:t>
      </w:r>
    </w:p>
    <w:p>
      <w:pPr>
        <w:pStyle w:val="0"/>
        <w:spacing w:before="200" w:line-rule="auto"/>
        <w:ind w:firstLine="540"/>
        <w:jc w:val="both"/>
      </w:pPr>
      <w:r>
        <w:rPr>
          <w:sz w:val="20"/>
        </w:rPr>
        <w:t xml:space="preserve">8. Соглашение, указанное в </w:t>
      </w:r>
      <w:hyperlink w:history="0" w:anchor="P10743" w:tooltip="7.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
        <w:r>
          <w:rPr>
            <w:sz w:val="20"/>
            <w:color w:val="0000ff"/>
          </w:rPr>
          <w:t xml:space="preserve">пункте 7</w:t>
        </w:r>
      </w:hyperlink>
      <w:r>
        <w:rPr>
          <w:sz w:val="20"/>
        </w:rPr>
        <w:t xml:space="preserve"> Порядка, подготавливается (формируется) и заключается в государственной интегрированной информационной системе управления общественными финансами "Электронный бюджет".</w:t>
      </w:r>
    </w:p>
    <w:p>
      <w:pPr>
        <w:pStyle w:val="0"/>
        <w:spacing w:before="200" w:line-rule="auto"/>
        <w:ind w:firstLine="540"/>
        <w:jc w:val="both"/>
      </w:pPr>
      <w:r>
        <w:rPr>
          <w:sz w:val="20"/>
        </w:rPr>
        <w:t xml:space="preserve">Типовая форма соглашения и дополнительного соглашения, предусматривающая внесение в него изменений и его расторжение, размещена в государственной интегрированной информационной системе управления общественными финансами "Электронный бюджет". Соглашение и дополнительные соглашения, предусматривающие внесение в него изменений или его расторжение, заключаются в соответствии с указанными типовыми формами соглашения, утвержденными Министерством финансов Российской Федерации.</w:t>
      </w:r>
    </w:p>
    <w:p>
      <w:pPr>
        <w:pStyle w:val="0"/>
        <w:spacing w:before="200" w:line-rule="auto"/>
        <w:ind w:firstLine="540"/>
        <w:jc w:val="both"/>
      </w:pPr>
      <w:r>
        <w:rPr>
          <w:sz w:val="20"/>
        </w:rPr>
        <w:t xml:space="preserve">9. Перечисление субсидий осуществляется в установленном порядке на счета, открытые Управлению Федерального казначейства по Белгородской области в учреждениях Центрального банка Российской Федерации для учета операций со средствами бюджетов муниципальных образований.</w:t>
      </w:r>
    </w:p>
    <w:p>
      <w:pPr>
        <w:pStyle w:val="0"/>
        <w:spacing w:before="200" w:line-rule="auto"/>
        <w:ind w:firstLine="540"/>
        <w:jc w:val="both"/>
      </w:pPr>
      <w:r>
        <w:rPr>
          <w:sz w:val="20"/>
        </w:rPr>
        <w:t xml:space="preserve">10. Перечисление средств субсидии в бюджет муниципального образования на реализацию мероприятий, указанных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pPr>
        <w:pStyle w:val="0"/>
        <w:spacing w:before="200" w:line-rule="auto"/>
        <w:ind w:firstLine="540"/>
        <w:jc w:val="both"/>
      </w:pPr>
      <w:r>
        <w:rPr>
          <w:sz w:val="20"/>
        </w:rPr>
        <w:t xml:space="preserve">11.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pPr>
        <w:pStyle w:val="0"/>
        <w:spacing w:before="200" w:line-rule="auto"/>
        <w:ind w:firstLine="540"/>
        <w:jc w:val="both"/>
      </w:pPr>
      <w:r>
        <w:rPr>
          <w:sz w:val="20"/>
        </w:rPr>
        <w:t xml:space="preserve">12. Муниципальное образование предоставляет главному распорядителю средств областного бюджета:</w:t>
      </w:r>
    </w:p>
    <w:p>
      <w:pPr>
        <w:pStyle w:val="0"/>
        <w:spacing w:before="200" w:line-rule="auto"/>
        <w:ind w:firstLine="540"/>
        <w:jc w:val="both"/>
      </w:pPr>
      <w:r>
        <w:rPr>
          <w:sz w:val="20"/>
        </w:rPr>
        <w:t xml:space="preserve">а)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 не позднее 31 декабря года, предшествующего году предоставления субсидии;</w:t>
      </w:r>
    </w:p>
    <w:p>
      <w:pPr>
        <w:pStyle w:val="0"/>
        <w:spacing w:before="200" w:line-rule="auto"/>
        <w:ind w:firstLine="540"/>
        <w:jc w:val="both"/>
      </w:pPr>
      <w:r>
        <w:rPr>
          <w:sz w:val="20"/>
        </w:rPr>
        <w:t xml:space="preserve">б) муниципальную программу (подпрограмму), предусматривающую реализацию мероприятий по ликвидации (рекультивации) объектов накопленного вреда окружающей среде, не позднее 31 декабря года, предшествующего году предоставления субсидии;</w:t>
      </w:r>
    </w:p>
    <w:p>
      <w:pPr>
        <w:pStyle w:val="0"/>
        <w:spacing w:before="200" w:line-rule="auto"/>
        <w:ind w:firstLine="540"/>
        <w:jc w:val="both"/>
      </w:pPr>
      <w:r>
        <w:rPr>
          <w:sz w:val="20"/>
        </w:rPr>
        <w:t xml:space="preserve">в)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w:history="0" r:id="rId252"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документов, подтверждающих фактически осуществленные расходы органа в установленный муниципальным контрактом срок, по форме и в сроки, установленные главным распорядителем средств областного бюджета;</w:t>
      </w:r>
    </w:p>
    <w:p>
      <w:pPr>
        <w:pStyle w:val="0"/>
        <w:spacing w:before="200" w:line-rule="auto"/>
        <w:ind w:firstLine="540"/>
        <w:jc w:val="both"/>
      </w:pPr>
      <w:r>
        <w:rPr>
          <w:sz w:val="20"/>
        </w:rPr>
        <w:t xml:space="preserve">г)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января года, следующего за годом, в котором была получена субсидия, по форме, установленной соглашением;</w:t>
      </w:r>
    </w:p>
    <w:p>
      <w:pPr>
        <w:pStyle w:val="0"/>
        <w:spacing w:before="200" w:line-rule="auto"/>
        <w:ind w:firstLine="540"/>
        <w:jc w:val="both"/>
      </w:pPr>
      <w:r>
        <w:rPr>
          <w:sz w:val="20"/>
        </w:rPr>
        <w:t xml:space="preserve">д) отчет о расходах бюджетных ассигнований муниципального образования, источником финансового обеспечения которых является субсидия, - не позднее 10 числа месяца, следующего за годом, в котором была получена субсидия, по форме, установленной соглашением.</w:t>
      </w:r>
    </w:p>
    <w:p>
      <w:pPr>
        <w:pStyle w:val="0"/>
        <w:spacing w:before="200" w:line-rule="auto"/>
        <w:ind w:firstLine="540"/>
        <w:jc w:val="both"/>
      </w:pPr>
      <w:r>
        <w:rPr>
          <w:sz w:val="20"/>
        </w:rPr>
        <w:t xml:space="preserve">13. Ответственность за достоверность представляемых сведений, целевое и эффективное использование субсидий несут муниципальные образования.</w:t>
      </w:r>
    </w:p>
    <w:bookmarkStart w:id="10766" w:name="P10766"/>
    <w:bookmarkEnd w:id="10766"/>
    <w:p>
      <w:pPr>
        <w:pStyle w:val="0"/>
        <w:spacing w:before="200" w:line-rule="auto"/>
        <w:ind w:firstLine="540"/>
        <w:jc w:val="both"/>
      </w:pPr>
      <w:r>
        <w:rPr>
          <w:sz w:val="20"/>
        </w:rPr>
        <w:t xml:space="preserve">14.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history="0" w:anchor="P10745" w:tooltip="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
        <w:r>
          <w:rPr>
            <w:sz w:val="20"/>
            <w:color w:val="0000ff"/>
          </w:rPr>
          <w:t xml:space="preserve">подпунктом "б" пункта 7</w:t>
        </w:r>
      </w:hyperlink>
      <w:r>
        <w:rPr>
          <w:sz w:val="20"/>
        </w:rP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sz w:val="20"/>
          <w:vertAlign w:val="subscript"/>
        </w:rPr>
        <w:t xml:space="preserve">возврат</w:t>
      </w:r>
      <w:r>
        <w:rPr>
          <w:sz w:val="20"/>
        </w:rPr>
        <w:t xml:space="preserve">), рассчитывается по формуле:</w:t>
      </w:r>
    </w:p>
    <w:p>
      <w:pPr>
        <w:pStyle w:val="0"/>
        <w:ind w:firstLine="540"/>
        <w:jc w:val="both"/>
      </w:pPr>
      <w:r>
        <w:rPr>
          <w:sz w:val="20"/>
        </w:rPr>
      </w:r>
    </w:p>
    <w:p>
      <w:pPr>
        <w:pStyle w:val="0"/>
        <w:jc w:val="center"/>
      </w:pPr>
      <w:r>
        <w:rPr>
          <w:sz w:val="20"/>
        </w:rPr>
        <w:t xml:space="preserve">V</w:t>
      </w:r>
      <w:r>
        <w:rPr>
          <w:sz w:val="20"/>
          <w:vertAlign w:val="subscript"/>
        </w:rPr>
        <w:t xml:space="preserve">возврат</w:t>
      </w:r>
      <w:r>
        <w:rPr>
          <w:sz w:val="20"/>
        </w:rPr>
        <w:t xml:space="preserve"> = (V</w:t>
      </w:r>
      <w:r>
        <w:rPr>
          <w:sz w:val="20"/>
          <w:vertAlign w:val="subscript"/>
        </w:rPr>
        <w:t xml:space="preserve">субсидии</w:t>
      </w:r>
      <w:r>
        <w:rPr>
          <w:sz w:val="20"/>
        </w:rPr>
        <w:t xml:space="preserve"> x k x m / n) x 0,1,</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субсидии -</w:t>
      </w:r>
      <w:r>
        <w:rPr>
          <w:sz w:val="20"/>
        </w:rPr>
        <w:t xml:space="preserve"> размер субсидии, предоставленной бюджету муниципального образования;</w:t>
      </w:r>
    </w:p>
    <w:p>
      <w:pPr>
        <w:pStyle w:val="0"/>
        <w:spacing w:before="200" w:line-rule="auto"/>
        <w:ind w:firstLine="540"/>
        <w:jc w:val="both"/>
      </w:pPr>
      <w:r>
        <w:rPr>
          <w:sz w:val="20"/>
        </w:rPr>
        <w:t xml:space="preserve">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0"/>
        <w:spacing w:before="200" w:line-rule="auto"/>
        <w:ind w:firstLine="540"/>
        <w:jc w:val="both"/>
      </w:pPr>
      <w:r>
        <w:rPr>
          <w:sz w:val="20"/>
        </w:rPr>
        <w:t xml:space="preserve">n - общее количество показателей результативности использования субсидии;</w:t>
      </w:r>
    </w:p>
    <w:p>
      <w:pPr>
        <w:pStyle w:val="0"/>
        <w:spacing w:before="200" w:line-rule="auto"/>
        <w:ind w:firstLine="540"/>
        <w:jc w:val="both"/>
      </w:pPr>
      <w:r>
        <w:rPr>
          <w:sz w:val="20"/>
        </w:rPr>
        <w:t xml:space="preserve">k - коэффициент возврата субсидии.</w:t>
      </w:r>
    </w:p>
    <w:p>
      <w:pPr>
        <w:pStyle w:val="0"/>
        <w:spacing w:before="200" w:line-rule="auto"/>
        <w:ind w:firstLine="540"/>
        <w:jc w:val="both"/>
      </w:pPr>
      <w:r>
        <w:rPr>
          <w:sz w:val="20"/>
        </w:rPr>
        <w:t xml:space="preserve">15. Коэффициент возврата субсидии рассчитывается по формуле:</w:t>
      </w:r>
    </w:p>
    <w:p>
      <w:pPr>
        <w:pStyle w:val="0"/>
        <w:ind w:firstLine="540"/>
        <w:jc w:val="both"/>
      </w:pPr>
      <w:r>
        <w:rPr>
          <w:sz w:val="20"/>
        </w:rPr>
      </w:r>
    </w:p>
    <w:p>
      <w:pPr>
        <w:pStyle w:val="0"/>
        <w:jc w:val="center"/>
      </w:pPr>
      <w:r>
        <w:rPr>
          <w:sz w:val="20"/>
        </w:rPr>
        <w:t xml:space="preserve">k = SUM D</w:t>
      </w:r>
      <w:r>
        <w:rPr>
          <w:sz w:val="20"/>
          <w:vertAlign w:val="subscript"/>
        </w:rPr>
        <w:t xml:space="preserve">i</w:t>
      </w:r>
      <w:r>
        <w:rPr>
          <w:sz w:val="20"/>
        </w:rPr>
        <w:t xml:space="preserve"> / m,</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16. Индекс, отражающий уровень недостижения i-го показателя результативности использования субсидии, определяется:</w:t>
      </w:r>
    </w:p>
    <w:p>
      <w:pPr>
        <w:pStyle w:val="0"/>
        <w:spacing w:before="200" w:line-rule="auto"/>
        <w:ind w:firstLine="540"/>
        <w:jc w:val="both"/>
      </w:pPr>
      <w:r>
        <w:rPr>
          <w:sz w:val="20"/>
        </w:rPr>
        <w:t xml:space="preserve">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T</w:t>
      </w:r>
      <w:r>
        <w:rPr>
          <w:sz w:val="20"/>
          <w:vertAlign w:val="subscript"/>
        </w:rPr>
        <w:t xml:space="preserve">i</w:t>
      </w:r>
      <w:r>
        <w:rPr>
          <w:sz w:val="20"/>
        </w:rPr>
        <w:t xml:space="preserve"> / S</w:t>
      </w:r>
      <w:r>
        <w:rPr>
          <w:sz w:val="20"/>
          <w:vertAlign w:val="subscript"/>
        </w:rPr>
        <w:t xml:space="preserve">i</w:t>
      </w:r>
      <w:r>
        <w:rPr>
          <w:sz w:val="20"/>
        </w:rPr>
        <w:t xml:space="preserve">,</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T</w:t>
      </w:r>
      <w:r>
        <w:rPr>
          <w:sz w:val="20"/>
          <w:vertAlign w:val="subscript"/>
        </w:rPr>
        <w:t xml:space="preserve">i</w:t>
      </w:r>
      <w:r>
        <w:rPr>
          <w:sz w:val="20"/>
        </w:rPr>
        <w:t xml:space="preserve"> - фактически достигнутое значение i-го показателя результативности использования субсидии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i-го показателя результативности использования субсидии, установленное соглашением;</w:t>
      </w:r>
    </w:p>
    <w:p>
      <w:pPr>
        <w:pStyle w:val="0"/>
        <w:spacing w:before="200" w:line-rule="auto"/>
        <w:ind w:firstLine="540"/>
        <w:jc w:val="both"/>
      </w:pPr>
      <w:r>
        <w:rPr>
          <w:sz w:val="20"/>
        </w:rPr>
        <w:t xml:space="preserve">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S</w:t>
      </w:r>
      <w:r>
        <w:rPr>
          <w:sz w:val="20"/>
          <w:vertAlign w:val="subscript"/>
        </w:rPr>
        <w:t xml:space="preserve">i</w:t>
      </w:r>
      <w:r>
        <w:rPr>
          <w:sz w:val="20"/>
        </w:rPr>
        <w:t xml:space="preserve"> / T</w:t>
      </w:r>
      <w:r>
        <w:rPr>
          <w:sz w:val="20"/>
          <w:vertAlign w:val="subscript"/>
        </w:rPr>
        <w:t xml:space="preserve">i</w:t>
      </w:r>
    </w:p>
    <w:p>
      <w:pPr>
        <w:pStyle w:val="0"/>
        <w:ind w:firstLine="540"/>
        <w:jc w:val="both"/>
      </w:pPr>
      <w:r>
        <w:rPr>
          <w:sz w:val="20"/>
        </w:rPr>
      </w:r>
    </w:p>
    <w:p>
      <w:pPr>
        <w:pStyle w:val="0"/>
        <w:ind w:firstLine="540"/>
        <w:jc w:val="both"/>
      </w:pPr>
      <w:r>
        <w:rPr>
          <w:sz w:val="20"/>
        </w:rPr>
        <w:t xml:space="preserve">17. Основанием для освобождения муниципальных образований от применения мер ответственности, предусмотренных </w:t>
      </w:r>
      <w:hyperlink w:history="0" w:anchor="P10766" w:tooltip="14.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7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14</w:t>
        </w:r>
      </w:hyperlink>
      <w:r>
        <w:rPr>
          <w:sz w:val="20"/>
        </w:rP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pPr>
        <w:pStyle w:val="0"/>
        <w:spacing w:before="200" w:line-rule="auto"/>
        <w:ind w:firstLine="540"/>
        <w:jc w:val="both"/>
      </w:pPr>
      <w:r>
        <w:rPr>
          <w:sz w:val="20"/>
        </w:rPr>
        <w:t xml:space="preserve">В случае отсутствия оснований для освобождения муниципальных образований от применения мер ответственности, предусмотренных пунктом 14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w:t>
      </w:r>
      <w:hyperlink w:history="0" w:anchor="P10766" w:tooltip="14.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7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14</w:t>
        </w:r>
      </w:hyperlink>
      <w:r>
        <w:rPr>
          <w:sz w:val="20"/>
        </w:rPr>
        <w:t xml:space="preserve"> Порядка, на иные цели.</w:t>
      </w:r>
    </w:p>
    <w:p>
      <w:pPr>
        <w:pStyle w:val="0"/>
        <w:spacing w:before="200" w:line-rule="auto"/>
        <w:ind w:firstLine="540"/>
        <w:jc w:val="both"/>
      </w:pPr>
      <w:r>
        <w:rPr>
          <w:sz w:val="20"/>
        </w:rPr>
        <w:t xml:space="preserve">18.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Порядка, к нему применяются бюджетные меры принуждения, предусмотренные бюджетным законодательством Российской Федерации.</w:t>
      </w:r>
    </w:p>
    <w:p>
      <w:pPr>
        <w:pStyle w:val="0"/>
        <w:spacing w:before="200" w:line-rule="auto"/>
        <w:ind w:firstLine="540"/>
        <w:jc w:val="both"/>
      </w:pPr>
      <w:r>
        <w:rPr>
          <w:sz w:val="20"/>
        </w:rPr>
        <w:t xml:space="preserve">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19. В случае отсутствия потребности в субсидиях и отсутствия заключенного по состоянию на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главный распорядитель средств областного бюджета на основании письменного обращения муниципального образования вправе в течение текущего финансового года перераспределить неиспользованный объем субсидий между муниципальными образованиями, которые имеют право на предоставление субсидий.</w:t>
      </w:r>
    </w:p>
    <w:p>
      <w:pPr>
        <w:pStyle w:val="0"/>
        <w:spacing w:before="200" w:line-rule="auto"/>
        <w:ind w:firstLine="540"/>
        <w:jc w:val="both"/>
      </w:pPr>
      <w:r>
        <w:rPr>
          <w:sz w:val="20"/>
        </w:rPr>
        <w:t xml:space="preserve">20.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pPr>
        <w:pStyle w:val="0"/>
        <w:spacing w:before="200" w:line-rule="auto"/>
        <w:ind w:firstLine="540"/>
        <w:jc w:val="both"/>
      </w:pPr>
      <w:r>
        <w:rPr>
          <w:sz w:val="20"/>
        </w:rPr>
        <w:t xml:space="preserve">Неиспользованный объем субсидий перераспределяется между муниципальными образованиями в соответствии с Порядком.</w:t>
      </w:r>
    </w:p>
    <w:p>
      <w:pPr>
        <w:pStyle w:val="0"/>
        <w:spacing w:before="200" w:line-rule="auto"/>
        <w:ind w:firstLine="540"/>
        <w:jc w:val="both"/>
      </w:pPr>
      <w:r>
        <w:rPr>
          <w:sz w:val="20"/>
        </w:rPr>
        <w:t xml:space="preserve">21.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pPr>
        <w:pStyle w:val="0"/>
        <w:spacing w:before="200" w:line-rule="auto"/>
        <w:ind w:firstLine="540"/>
        <w:jc w:val="both"/>
      </w:pPr>
      <w:r>
        <w:rPr>
          <w:sz w:val="20"/>
        </w:rPr>
        <w:t xml:space="preserve">количество ликвидированных (рекультивированных) объектов накопленного вреда окружающей среде, штук.</w:t>
      </w:r>
    </w:p>
    <w:p>
      <w:pPr>
        <w:pStyle w:val="0"/>
        <w:spacing w:before="200" w:line-rule="auto"/>
        <w:ind w:firstLine="540"/>
        <w:jc w:val="both"/>
      </w:pPr>
      <w:r>
        <w:rPr>
          <w:sz w:val="20"/>
        </w:rPr>
        <w:t xml:space="preserve">22.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pPr>
        <w:pStyle w:val="0"/>
        <w:spacing w:before="200" w:line-rule="auto"/>
        <w:ind w:firstLine="540"/>
        <w:jc w:val="both"/>
      </w:pPr>
      <w:r>
        <w:rPr>
          <w:sz w:val="20"/>
        </w:rPr>
        <w:t xml:space="preserve">Органы государственного финансового контроля осуществляют контроль в соответствии с их полномочиями, установленными Бюджетным </w:t>
      </w:r>
      <w:hyperlink w:history="0" r:id="rId253"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и иными нормативными правовыми актами Российской Федерации и Белгородской области.</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11</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10816" w:name="P10816"/>
    <w:bookmarkEnd w:id="10816"/>
    <w:p>
      <w:pPr>
        <w:pStyle w:val="2"/>
        <w:jc w:val="center"/>
      </w:pPr>
      <w:r>
        <w:rPr>
          <w:sz w:val="20"/>
        </w:rPr>
        <w:t xml:space="preserve">Порядок</w:t>
      </w:r>
    </w:p>
    <w:p>
      <w:pPr>
        <w:pStyle w:val="2"/>
        <w:jc w:val="center"/>
      </w:pPr>
      <w:r>
        <w:rPr>
          <w:sz w:val="20"/>
        </w:rPr>
        <w:t xml:space="preserve">предоставления и распределения субсидий из областного</w:t>
      </w:r>
    </w:p>
    <w:p>
      <w:pPr>
        <w:pStyle w:val="2"/>
        <w:jc w:val="center"/>
      </w:pPr>
      <w:r>
        <w:rPr>
          <w:sz w:val="20"/>
        </w:rPr>
        <w:t xml:space="preserve">бюджета бюджетам муниципальных образований Белгородской</w:t>
      </w:r>
    </w:p>
    <w:p>
      <w:pPr>
        <w:pStyle w:val="2"/>
        <w:jc w:val="center"/>
      </w:pPr>
      <w:r>
        <w:rPr>
          <w:sz w:val="20"/>
        </w:rPr>
        <w:t xml:space="preserve">области на исполнение мероприятия по разработке</w:t>
      </w:r>
    </w:p>
    <w:p>
      <w:pPr>
        <w:pStyle w:val="2"/>
        <w:jc w:val="center"/>
      </w:pPr>
      <w:r>
        <w:rPr>
          <w:sz w:val="20"/>
        </w:rPr>
        <w:t xml:space="preserve">проектно-сметной документации на рекультивацию объектов</w:t>
      </w:r>
    </w:p>
    <w:p>
      <w:pPr>
        <w:pStyle w:val="2"/>
        <w:jc w:val="center"/>
      </w:pPr>
      <w:r>
        <w:rPr>
          <w:sz w:val="20"/>
        </w:rPr>
        <w:t xml:space="preserve">накопленного вреда окружающей среде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54" w:tooltip="Постановление Правительства Белгородской обл. от 20.07.2020 N 326-пп &quot;О внесении изменений в постановления Правительства Белгородской области от 16 декабря 2013 года N 517-пп, от 24 декабря 2007 года N 307-пп, от 31 мая 2010 года N 190-пп и о признании утратившими силу постановлений Правительства Белгородской области от 18 марта 2019 года N 109-пп, от 15 апреля 2019 года N 141-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20.07.2020 N 326-пп;</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25.10.2021 </w:t>
            </w:r>
            <w:hyperlink w:history="0" r:id="rId255"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483-пп</w:t>
              </w:r>
            </w:hyperlink>
            <w:r>
              <w:rPr>
                <w:sz w:val="20"/>
                <w:color w:val="392c69"/>
              </w:rPr>
              <w:t xml:space="preserve">, от 17.01.2022 </w:t>
            </w:r>
            <w:hyperlink w:history="0" r:id="rId256"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N 20-пп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1. Порядок предоставления и распределения субсидий из областного бюджета бюджетам образований Белгородской области на исполнение мероприятия по разработке проектно-сметной документации на рекультивацию объектов накопленного вреда окружающей среде (далее - Порядок) устанавливает порядок предоставления субсидий бюджетам муниципальных образований Белгородской области из областного бюджета (далее - субсидии), условия предоставления субсидий и принципы их распределения между муниципальными образованиями Белгородской области на разработку проектно-сметной документации на рекультивацию объектов накопленного вреда окружающей среде в рамках реализации </w:t>
      </w:r>
      <w:hyperlink w:history="0" w:anchor="P1966" w:tooltip="Паспорт">
        <w:r>
          <w:rPr>
            <w:sz w:val="20"/>
            <w:color w:val="0000ff"/>
          </w:rPr>
          <w:t xml:space="preserve">подпрограммы</w:t>
        </w:r>
      </w:hyperlink>
      <w:r>
        <w:rPr>
          <w:sz w:val="20"/>
        </w:rP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(далее соответственно - подпрограмма, государственная программа).</w:t>
      </w:r>
    </w:p>
    <w:bookmarkStart w:id="10829" w:name="P10829"/>
    <w:bookmarkEnd w:id="10829"/>
    <w:p>
      <w:pPr>
        <w:pStyle w:val="0"/>
        <w:spacing w:before="200" w:line-rule="auto"/>
        <w:ind w:firstLine="540"/>
        <w:jc w:val="both"/>
      </w:pPr>
      <w:r>
        <w:rPr>
          <w:sz w:val="20"/>
        </w:rPr>
        <w:t xml:space="preserve">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рекультивацию объектов накопленного вреда окружающей среде.</w:t>
      </w:r>
    </w:p>
    <w:p>
      <w:pPr>
        <w:pStyle w:val="0"/>
        <w:jc w:val="both"/>
      </w:pPr>
      <w:r>
        <w:rPr>
          <w:sz w:val="20"/>
        </w:rPr>
        <w:t xml:space="preserve">(в ред. </w:t>
      </w:r>
      <w:hyperlink w:history="0" r:id="rId257"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17.01.2022 N 20-пп)</w:t>
      </w:r>
    </w:p>
    <w:p>
      <w:pPr>
        <w:pStyle w:val="0"/>
        <w:spacing w:before="200" w:line-rule="auto"/>
        <w:ind w:firstLine="540"/>
        <w:jc w:val="both"/>
      </w:pPr>
      <w:r>
        <w:rPr>
          <w:sz w:val="20"/>
        </w:rPr>
        <w:t xml:space="preserve">3. Субсидии предоставляются бюджетам муниципальных образований на следующих условиях:</w:t>
      </w:r>
    </w:p>
    <w:p>
      <w:pPr>
        <w:pStyle w:val="0"/>
        <w:spacing w:before="200" w:line-rule="auto"/>
        <w:ind w:firstLine="540"/>
        <w:jc w:val="both"/>
      </w:pPr>
      <w:r>
        <w:rPr>
          <w:sz w:val="20"/>
        </w:rPr>
        <w:t xml:space="preserve">а) наличие муниципальных программ (подпрограмм), предусматривающих реализацию мероприятий по разработке проектно-сметной документации на рекультивацию объектов накопленного вреда окружающей среде;</w:t>
      </w:r>
    </w:p>
    <w:p>
      <w:pPr>
        <w:pStyle w:val="0"/>
        <w:spacing w:before="200" w:line-rule="auto"/>
        <w:ind w:firstLine="540"/>
        <w:jc w:val="both"/>
      </w:pPr>
      <w:r>
        <w:rPr>
          <w:sz w:val="20"/>
        </w:rPr>
        <w:t xml:space="preserve">б) наличие в решении о бюджете муниципального образования бюджетных ассигнований на исполнение соответствующих расходных обязательств муниципального образования, софинансирование которых осуществляется из областного бюджета, в соответствии с установленным предельным уровнем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текущий финансовый год и на плановый период либо гарантийное обязательство органа местного самоуправления о включении указанных расходных обязательств и бюджетных ассигнований в нормативный правовой акт о бюджете;</w:t>
      </w:r>
    </w:p>
    <w:p>
      <w:pPr>
        <w:pStyle w:val="0"/>
        <w:spacing w:before="200" w:line-rule="auto"/>
        <w:ind w:firstLine="540"/>
        <w:jc w:val="both"/>
      </w:pPr>
      <w:r>
        <w:rPr>
          <w:sz w:val="20"/>
        </w:rPr>
        <w:t xml:space="preserve">в) возврат муниципальными образованиями средств в областной бюджет в соответствии с </w:t>
      </w:r>
      <w:hyperlink w:history="0" w:anchor="P10879" w:tooltip="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15</w:t>
        </w:r>
      </w:hyperlink>
      <w:r>
        <w:rPr>
          <w:sz w:val="20"/>
        </w:rPr>
        <w:t xml:space="preserve"> Порядка.</w:t>
      </w:r>
    </w:p>
    <w:p>
      <w:pPr>
        <w:pStyle w:val="0"/>
        <w:spacing w:before="200" w:line-rule="auto"/>
        <w:ind w:firstLine="540"/>
        <w:jc w:val="both"/>
      </w:pPr>
      <w:r>
        <w:rPr>
          <w:sz w:val="20"/>
        </w:rPr>
        <w:t xml:space="preserve">4. Муниципальные образования, бюджетам которых предоставляются субсидии на софинансирование мероприятий, указанных в </w:t>
      </w:r>
      <w:hyperlink w:history="0" w:anchor="P10829"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рекультивацию объ...">
        <w:r>
          <w:rPr>
            <w:sz w:val="20"/>
            <w:color w:val="0000ff"/>
          </w:rPr>
          <w:t xml:space="preserve">пункте 2</w:t>
        </w:r>
      </w:hyperlink>
      <w:r>
        <w:rPr>
          <w:sz w:val="20"/>
        </w:rPr>
        <w:t xml:space="preserve"> Порядка, должны отвечать следующим критериям:</w:t>
      </w:r>
    </w:p>
    <w:p>
      <w:pPr>
        <w:pStyle w:val="0"/>
        <w:spacing w:before="200" w:line-rule="auto"/>
        <w:ind w:firstLine="540"/>
        <w:jc w:val="both"/>
      </w:pPr>
      <w:r>
        <w:rPr>
          <w:sz w:val="20"/>
        </w:rPr>
        <w:t xml:space="preserve">а) наличие объекта накопленного вреда окружающей среде, включенного в государственный реестр объектов накопленного вреда окружающей среде;</w:t>
      </w:r>
    </w:p>
    <w:p>
      <w:pPr>
        <w:pStyle w:val="0"/>
        <w:spacing w:before="200" w:line-rule="auto"/>
        <w:ind w:firstLine="540"/>
        <w:jc w:val="both"/>
      </w:pPr>
      <w:r>
        <w:rPr>
          <w:sz w:val="20"/>
        </w:rPr>
        <w:t xml:space="preserve">б) земельные участки, отнесенные к объектам накопленного вреда окружающей среде, находятся в собственности субъекта Российской Федерации и (или) муниципальной собственности.</w:t>
      </w:r>
    </w:p>
    <w:p>
      <w:pPr>
        <w:pStyle w:val="0"/>
        <w:spacing w:before="200" w:line-rule="auto"/>
        <w:ind w:firstLine="540"/>
        <w:jc w:val="both"/>
      </w:pPr>
      <w:r>
        <w:rPr>
          <w:sz w:val="20"/>
        </w:rPr>
        <w:t xml:space="preserve">5. Объем субсидии (Si), предоставляемой бюджету муниципального образования на осуществление мероприятия, указанного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определяется по следующей формуле:</w:t>
      </w:r>
    </w:p>
    <w:p>
      <w:pPr>
        <w:pStyle w:val="0"/>
        <w:ind w:firstLine="540"/>
        <w:jc w:val="both"/>
      </w:pPr>
      <w:r>
        <w:rPr>
          <w:sz w:val="20"/>
        </w:rPr>
      </w:r>
    </w:p>
    <w:p>
      <w:pPr>
        <w:pStyle w:val="0"/>
        <w:jc w:val="center"/>
      </w:pPr>
      <w:r>
        <w:rPr>
          <w:position w:val="-20"/>
        </w:rPr>
        <w:drawing>
          <wp:inline distT="0" distB="0" distL="0" distR="0">
            <wp:extent cx="990600" cy="3810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a:extLst>
                        <a:ext uri="{28A0092B-C50C-407E-A947-70E740481C1C}">
                          <a14:useLocalDpi xmlns:a14="http://schemas.microsoft.com/office/drawing/2010/main" val="0"/>
                        </a:ext>
                      </a:extLst>
                    </a:blip>
                    <a:srcRect/>
                    <a:stretch>
                      <a:fillRect/>
                    </a:stretch>
                  </pic:blipFill>
                  <pic:spPr bwMode="auto">
                    <a:xfrm>
                      <a:off x="0" y="0"/>
                      <a:ext cx="990600" cy="381000"/>
                    </a:xfrm>
                    <a:prstGeom prst="rect">
                      <a:avLst/>
                    </a:prstGeom>
                    <a:noFill/>
                    <a:ln>
                      <a:noFill/>
                    </a:ln>
                  </pic:spPr>
                </pic:pic>
              </a:graphicData>
            </a:graphic>
          </wp:inline>
        </w:drawing>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к - общее количество мероприятий в соответствующем году в i-м муниципальном образовании Белгородской области;</w:t>
      </w:r>
    </w:p>
    <w:p>
      <w:pPr>
        <w:pStyle w:val="0"/>
        <w:spacing w:before="200" w:line-rule="auto"/>
        <w:ind w:firstLine="540"/>
        <w:jc w:val="both"/>
      </w:pPr>
      <w:r>
        <w:rPr>
          <w:sz w:val="20"/>
        </w:rPr>
        <w:t xml:space="preserve">Сj - размер субсидии в соответствующем году на j-й объект.</w:t>
      </w:r>
    </w:p>
    <w:p>
      <w:pPr>
        <w:pStyle w:val="0"/>
        <w:spacing w:before="200" w:line-rule="auto"/>
        <w:ind w:firstLine="540"/>
        <w:jc w:val="both"/>
      </w:pPr>
      <w:r>
        <w:rPr>
          <w:sz w:val="20"/>
        </w:rPr>
        <w:t xml:space="preserve">Сj определяется по формуле:</w:t>
      </w:r>
    </w:p>
    <w:p>
      <w:pPr>
        <w:pStyle w:val="0"/>
        <w:ind w:firstLine="540"/>
        <w:jc w:val="both"/>
      </w:pPr>
      <w:r>
        <w:rPr>
          <w:sz w:val="20"/>
        </w:rPr>
      </w:r>
    </w:p>
    <w:p>
      <w:pPr>
        <w:pStyle w:val="0"/>
        <w:jc w:val="center"/>
      </w:pPr>
      <w:r>
        <w:rPr>
          <w:sz w:val="20"/>
        </w:rPr>
        <w:t xml:space="preserve">Сj = ОПj - СМj,</w:t>
      </w:r>
    </w:p>
    <w:p>
      <w:pPr>
        <w:pStyle w:val="0"/>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реализацию мероприятий, указанных в </w:t>
      </w:r>
      <w:hyperlink w:history="0" w:anchor="P10716"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ликвидации (рекультивации) объектов накопленного вреда окружа...">
        <w:r>
          <w:rPr>
            <w:sz w:val="20"/>
            <w:color w:val="0000ff"/>
          </w:rPr>
          <w:t xml:space="preserve">пункте 2</w:t>
        </w:r>
      </w:hyperlink>
      <w:r>
        <w:rPr>
          <w:sz w:val="20"/>
        </w:rPr>
        <w:t xml:space="preserve"> Порядка, в i-м муниципальном образовании Белгородской области;</w:t>
      </w:r>
    </w:p>
    <w:p>
      <w:pPr>
        <w:pStyle w:val="0"/>
        <w:spacing w:before="200" w:line-rule="auto"/>
        <w:ind w:firstLine="540"/>
        <w:jc w:val="both"/>
      </w:pPr>
      <w:r>
        <w:rPr>
          <w:sz w:val="20"/>
        </w:rPr>
        <w:t xml:space="preserve">СМj - объем средств бюджета муниципального образования Белгородской области,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благоустройство в целях софинансирования в i-м муниципальном образовании Белгородской области.</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 счет средств местного бюджета. При этом дополнительные средства из областного бюджета выделяться не будут.</w:t>
      </w:r>
    </w:p>
    <w:p>
      <w:pPr>
        <w:pStyle w:val="0"/>
        <w:jc w:val="both"/>
      </w:pPr>
      <w:r>
        <w:rPr>
          <w:sz w:val="20"/>
        </w:rPr>
        <w:t xml:space="preserve">(п. 5 в ред. </w:t>
      </w:r>
      <w:hyperlink w:history="0" r:id="rId259"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25.10.2021 N 483-пп)</w:t>
      </w:r>
    </w:p>
    <w:p>
      <w:pPr>
        <w:pStyle w:val="0"/>
        <w:spacing w:before="200" w:line-rule="auto"/>
        <w:ind w:firstLine="540"/>
        <w:jc w:val="both"/>
      </w:pPr>
      <w:r>
        <w:rPr>
          <w:sz w:val="20"/>
        </w:rPr>
        <w:t xml:space="preserve">6. Заявки на участие в реализации мероприятий подпрограммы и предоставление субсидий муниципальными образованиями предоставляются по форме, установленной главным распорядителем средств областного бюджета, до 1 июля года, предшествующего очередному финансовому году.</w:t>
      </w:r>
    </w:p>
    <w:p>
      <w:pPr>
        <w:pStyle w:val="0"/>
        <w:spacing w:before="200" w:line-rule="auto"/>
        <w:ind w:firstLine="540"/>
        <w:jc w:val="both"/>
      </w:pPr>
      <w:r>
        <w:rPr>
          <w:sz w:val="20"/>
        </w:rPr>
        <w:t xml:space="preserve">7. Распределение субсидий между муниципальными образованиями и изменения, связанные с перераспределением (сокращением) субсидии, утверждается законом об областном бюджете на текущий финансовый год и на плановый период.</w:t>
      </w:r>
    </w:p>
    <w:bookmarkStart w:id="10856" w:name="P10856"/>
    <w:bookmarkEnd w:id="10856"/>
    <w:p>
      <w:pPr>
        <w:pStyle w:val="0"/>
        <w:spacing w:before="200" w:line-rule="auto"/>
        <w:ind w:firstLine="540"/>
        <w:jc w:val="both"/>
      </w:pPr>
      <w:r>
        <w:rPr>
          <w:sz w:val="20"/>
        </w:rPr>
        <w:t xml:space="preserve">8.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w:t>
      </w:r>
    </w:p>
    <w:p>
      <w:pPr>
        <w:pStyle w:val="0"/>
        <w:spacing w:before="200" w:line-rule="auto"/>
        <w:ind w:firstLine="540"/>
        <w:jc w:val="both"/>
      </w:pPr>
      <w:r>
        <w:rPr>
          <w:sz w:val="20"/>
        </w:rPr>
        <w:t xml:space="preserve">а) размер предоставляемой субсидии, порядок, условия и сроки ее перечисления в бюджет муниципального образования, а также объем бюджетных ассигнований местных бюджетов на реализацию соответствующих расходных обязательств;</w:t>
      </w:r>
    </w:p>
    <w:bookmarkStart w:id="10858" w:name="P10858"/>
    <w:bookmarkEnd w:id="10858"/>
    <w:p>
      <w:pPr>
        <w:pStyle w:val="0"/>
        <w:spacing w:before="200" w:line-rule="auto"/>
        <w:ind w:firstLine="540"/>
        <w:jc w:val="both"/>
      </w:pPr>
      <w:r>
        <w:rPr>
          <w:sz w:val="20"/>
        </w:rPr>
        <w:t xml:space="preserve">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w:t>
      </w:r>
    </w:p>
    <w:p>
      <w:pPr>
        <w:pStyle w:val="0"/>
        <w:spacing w:before="200" w:line-rule="auto"/>
        <w:ind w:firstLine="540"/>
        <w:jc w:val="both"/>
      </w:pPr>
      <w:r>
        <w:rPr>
          <w:sz w:val="20"/>
        </w:rPr>
        <w:t xml:space="preserve">в) обязательства муниципального образования по согласованию с главным распорядителем средств областного бюджета муниципальной программы (подпрограммы), софинансируемой за счет средств областного бюджета, и внесение в нее изменений, которые влекут изменения объемов финансирования и (или) показателей результативности муниципальной программы и (или) изменение состава мероприятий указанной программы, на которые предоставляются субсидии;</w:t>
      </w:r>
    </w:p>
    <w:p>
      <w:pPr>
        <w:pStyle w:val="0"/>
        <w:spacing w:before="200" w:line-rule="auto"/>
        <w:ind w:firstLine="540"/>
        <w:jc w:val="both"/>
      </w:pPr>
      <w:r>
        <w:rPr>
          <w:sz w:val="20"/>
        </w:rPr>
        <w:t xml:space="preserve">г) реквизиты правового акта муниципального образования, устанавливающего расходное обязательство муниципального образования, в целях софинансирования которого предоставляется субсидия;</w:t>
      </w:r>
    </w:p>
    <w:p>
      <w:pPr>
        <w:pStyle w:val="0"/>
        <w:spacing w:before="200" w:line-rule="auto"/>
        <w:ind w:firstLine="540"/>
        <w:jc w:val="both"/>
      </w:pPr>
      <w:r>
        <w:rPr>
          <w:sz w:val="20"/>
        </w:rPr>
        <w:t xml:space="preserve">д) сроки и порядок представления отчетности об осуществлении расходов бюджета муниципального образования, источником финансового обеспечения которых является субсидия, а также о достижении значений показателей результативности использования субсидии;</w:t>
      </w:r>
    </w:p>
    <w:p>
      <w:pPr>
        <w:pStyle w:val="0"/>
        <w:spacing w:before="200" w:line-rule="auto"/>
        <w:ind w:firstLine="540"/>
        <w:jc w:val="both"/>
      </w:pPr>
      <w:r>
        <w:rPr>
          <w:sz w:val="20"/>
        </w:rPr>
        <w:t xml:space="preserve">е) порядок осуществления контроля за соблюдением муниципальным образованием обязательств, предусмотренных соглашением;</w:t>
      </w:r>
    </w:p>
    <w:p>
      <w:pPr>
        <w:pStyle w:val="0"/>
        <w:spacing w:before="200" w:line-rule="auto"/>
        <w:ind w:firstLine="540"/>
        <w:jc w:val="both"/>
      </w:pPr>
      <w:r>
        <w:rPr>
          <w:sz w:val="20"/>
        </w:rPr>
        <w:t xml:space="preserve">ж) последствия недостижения муниципальным образованием установленных значений показателей результативности использования субсидии;</w:t>
      </w:r>
    </w:p>
    <w:p>
      <w:pPr>
        <w:pStyle w:val="0"/>
        <w:spacing w:before="200" w:line-rule="auto"/>
        <w:ind w:firstLine="540"/>
        <w:jc w:val="both"/>
      </w:pPr>
      <w:r>
        <w:rPr>
          <w:sz w:val="20"/>
        </w:rPr>
        <w:t xml:space="preserve">з) ответственность сторон за нарушение условий соглашения;</w:t>
      </w:r>
    </w:p>
    <w:p>
      <w:pPr>
        <w:pStyle w:val="0"/>
        <w:spacing w:before="200" w:line-rule="auto"/>
        <w:ind w:firstLine="540"/>
        <w:jc w:val="both"/>
      </w:pPr>
      <w:r>
        <w:rPr>
          <w:sz w:val="20"/>
        </w:rPr>
        <w:t xml:space="preserve">и) иные условия, определяемые по соглашению сторон, регулирующему порядок предоставления субсидий;</w:t>
      </w:r>
    </w:p>
    <w:p>
      <w:pPr>
        <w:pStyle w:val="0"/>
        <w:spacing w:before="200" w:line-rule="auto"/>
        <w:ind w:firstLine="540"/>
        <w:jc w:val="both"/>
      </w:pPr>
      <w:r>
        <w:rPr>
          <w:sz w:val="20"/>
        </w:rPr>
        <w:t xml:space="preserve">к) условие о вступлении в силу соглашения.</w:t>
      </w:r>
    </w:p>
    <w:p>
      <w:pPr>
        <w:pStyle w:val="0"/>
        <w:spacing w:before="200" w:line-rule="auto"/>
        <w:ind w:firstLine="540"/>
        <w:jc w:val="both"/>
      </w:pPr>
      <w:r>
        <w:rPr>
          <w:sz w:val="20"/>
        </w:rPr>
        <w:t xml:space="preserve">9. Соглашение, указанное в </w:t>
      </w:r>
      <w:hyperlink w:history="0" w:anchor="P10856" w:tooltip="8. Предоставление субсидий осуществляется на основании заключенного до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предусматривающего:">
        <w:r>
          <w:rPr>
            <w:sz w:val="20"/>
            <w:color w:val="0000ff"/>
          </w:rPr>
          <w:t xml:space="preserve">пункте 8</w:t>
        </w:r>
      </w:hyperlink>
      <w:r>
        <w:rPr>
          <w:sz w:val="20"/>
        </w:rPr>
        <w:t xml:space="preserve"> Порядка, подготавливается и направляется муниципальным образованиям главным распорядителем средств областного бюджета.</w:t>
      </w:r>
    </w:p>
    <w:p>
      <w:pPr>
        <w:pStyle w:val="0"/>
        <w:spacing w:before="200" w:line-rule="auto"/>
        <w:ind w:firstLine="540"/>
        <w:jc w:val="both"/>
      </w:pPr>
      <w:r>
        <w:rPr>
          <w:sz w:val="20"/>
        </w:rPr>
        <w:t xml:space="preserve">10. Перечисление субсидий осуществляется в установленном порядке на счета, открытые Управлению Федерального казначейства по Белгородской области в учреждениях Центрального банка Российской Федерации для учета операций со средствами бюджетов муниципальных образований.</w:t>
      </w:r>
    </w:p>
    <w:p>
      <w:pPr>
        <w:pStyle w:val="0"/>
        <w:spacing w:before="200" w:line-rule="auto"/>
        <w:ind w:firstLine="540"/>
        <w:jc w:val="both"/>
      </w:pPr>
      <w:r>
        <w:rPr>
          <w:sz w:val="20"/>
        </w:rPr>
        <w:t xml:space="preserve">11. Перечисление средств субсидии в бюджет муниципального образования на реализацию мероприятий, указанных в </w:t>
      </w:r>
      <w:hyperlink w:history="0" w:anchor="P10829"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рекультивацию объ...">
        <w:r>
          <w:rPr>
            <w:sz w:val="20"/>
            <w:color w:val="0000ff"/>
          </w:rPr>
          <w:t xml:space="preserve">пункте 2</w:t>
        </w:r>
      </w:hyperlink>
      <w:r>
        <w:rPr>
          <w:sz w:val="20"/>
        </w:rPr>
        <w:t xml:space="preserve"> Порядка, осуществляется по заявке муниципального образования в сроки, установленные соглашением. Сроки и порядок подачи заявок на перечисление субсидии устанавливаются главным распорядителем средств областного бюджета.</w:t>
      </w:r>
    </w:p>
    <w:p>
      <w:pPr>
        <w:pStyle w:val="0"/>
        <w:spacing w:before="200" w:line-rule="auto"/>
        <w:ind w:firstLine="540"/>
        <w:jc w:val="both"/>
      </w:pPr>
      <w:r>
        <w:rPr>
          <w:sz w:val="20"/>
        </w:rPr>
        <w:t xml:space="preserve">12.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pPr>
        <w:pStyle w:val="0"/>
        <w:spacing w:before="200" w:line-rule="auto"/>
        <w:ind w:firstLine="540"/>
        <w:jc w:val="both"/>
      </w:pPr>
      <w:r>
        <w:rPr>
          <w:sz w:val="20"/>
        </w:rPr>
        <w:t xml:space="preserve">13. Муниципальное образование предоставляет главному распорядителю средств областного бюджета:</w:t>
      </w:r>
    </w:p>
    <w:p>
      <w:pPr>
        <w:pStyle w:val="0"/>
        <w:spacing w:before="200" w:line-rule="auto"/>
        <w:ind w:firstLine="540"/>
        <w:jc w:val="both"/>
      </w:pPr>
      <w:r>
        <w:rPr>
          <w:sz w:val="20"/>
        </w:rPr>
        <w:t xml:space="preserve">а) выписку из нормативного правового акта представительного органа муниципального образования о размере средств местного бюджета, предусмотренных на финансирование мероприятий, указанных в </w:t>
      </w:r>
      <w:hyperlink w:history="0" w:anchor="P10829"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рекультивацию объ...">
        <w:r>
          <w:rPr>
            <w:sz w:val="20"/>
            <w:color w:val="0000ff"/>
          </w:rPr>
          <w:t xml:space="preserve">пункте 2</w:t>
        </w:r>
      </w:hyperlink>
      <w:r>
        <w:rPr>
          <w:sz w:val="20"/>
        </w:rPr>
        <w:t xml:space="preserve"> Порядка, - не позднее 31 декабря года, предшествующего году предоставления субсидии;</w:t>
      </w:r>
    </w:p>
    <w:p>
      <w:pPr>
        <w:pStyle w:val="0"/>
        <w:spacing w:before="200" w:line-rule="auto"/>
        <w:ind w:firstLine="540"/>
        <w:jc w:val="both"/>
      </w:pPr>
      <w:r>
        <w:rPr>
          <w:sz w:val="20"/>
        </w:rPr>
        <w:t xml:space="preserve">б) муниципальную программу (подпрограмму), предусматривающую реализацию мероприятий по разработке проектно-сметной документации на рекультивацию объектов накопленного вреда окружающей среде, не позднее 31 декабря года, предшествующего году предоставления субсидии;</w:t>
      </w:r>
    </w:p>
    <w:p>
      <w:pPr>
        <w:pStyle w:val="0"/>
        <w:spacing w:before="200" w:line-rule="auto"/>
        <w:ind w:firstLine="540"/>
        <w:jc w:val="both"/>
      </w:pPr>
      <w:r>
        <w:rPr>
          <w:sz w:val="20"/>
        </w:rPr>
        <w:t xml:space="preserve">в) заявки на перечисление субсидий бюджету муниципального образования на реализацию мероприятий программы (подпрограммы) с приложением муниципальных контрактов, договоров, заключенных с организациями, в соответствии с требованиями Федерального </w:t>
      </w:r>
      <w:hyperlink w:history="0" r:id="rId260"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закона</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актов приемки выполненных работ, документов, подтверждающих фактически осуществленные расходы органа в установленный муниципальным контрактом срок, по форме и в сроки, установленные главным распорядителем средств областного бюджета;</w:t>
      </w:r>
    </w:p>
    <w:p>
      <w:pPr>
        <w:pStyle w:val="0"/>
        <w:spacing w:before="200" w:line-rule="auto"/>
        <w:ind w:firstLine="540"/>
        <w:jc w:val="both"/>
      </w:pPr>
      <w:r>
        <w:rPr>
          <w:sz w:val="20"/>
        </w:rPr>
        <w:t xml:space="preserve">г) разработанную проектно-сметную документацию, включая положительное заключение государственной экологической экспертизы и заключение о проверке достоверности определения сметной стоимости природоохранных проектов;</w:t>
      </w:r>
    </w:p>
    <w:p>
      <w:pPr>
        <w:pStyle w:val="0"/>
        <w:spacing w:before="200" w:line-rule="auto"/>
        <w:ind w:firstLine="540"/>
        <w:jc w:val="both"/>
      </w:pPr>
      <w:r>
        <w:rPr>
          <w:sz w:val="20"/>
        </w:rPr>
        <w:t xml:space="preserve">д) отчет о достижении значений показателей результативности использования субсидий, предусмотренных на реализацию мероприятий подпрограммы, - не позднее 10 числа месяца, следующего за годом, в котором была получена субсидия, по форме, установленной соглашением;</w:t>
      </w:r>
    </w:p>
    <w:p>
      <w:pPr>
        <w:pStyle w:val="0"/>
        <w:spacing w:before="200" w:line-rule="auto"/>
        <w:ind w:firstLine="540"/>
        <w:jc w:val="both"/>
      </w:pPr>
      <w:r>
        <w:rPr>
          <w:sz w:val="20"/>
        </w:rPr>
        <w:t xml:space="preserve">е) отчет о расходах бюджетных ассигнований муниципального образования, источником финансового обеспечения которых является субсидия, не позднее 10 числа месяца, следующего за годом, в котором была получена субсидия, по форме, установленной соглашением.</w:t>
      </w:r>
    </w:p>
    <w:p>
      <w:pPr>
        <w:pStyle w:val="0"/>
        <w:spacing w:before="200" w:line-rule="auto"/>
        <w:ind w:firstLine="540"/>
        <w:jc w:val="both"/>
      </w:pPr>
      <w:r>
        <w:rPr>
          <w:sz w:val="20"/>
        </w:rPr>
        <w:t xml:space="preserve">14. Ответственность за достоверность представляемых сведений, целевое и эффективное использование субсидий несут муниципальные образования.</w:t>
      </w:r>
    </w:p>
    <w:bookmarkStart w:id="10879" w:name="P10879"/>
    <w:bookmarkEnd w:id="10879"/>
    <w:p>
      <w:pPr>
        <w:pStyle w:val="0"/>
        <w:spacing w:before="200" w:line-rule="auto"/>
        <w:ind w:firstLine="540"/>
        <w:jc w:val="both"/>
      </w:pPr>
      <w:r>
        <w:rPr>
          <w:sz w:val="20"/>
        </w:rPr>
        <w:t xml:space="preserve">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history="0" w:anchor="P10858" w:tooltip="б) значения показателей результативности использования субсидии, которые должны соответствовать значениям целевых показателей и индикаторов государственной программы, и обязательства муниципального образования по их достижению;">
        <w:r>
          <w:rPr>
            <w:sz w:val="20"/>
            <w:color w:val="0000ff"/>
          </w:rPr>
          <w:t xml:space="preserve">подпунктом "б" пункта 8</w:t>
        </w:r>
      </w:hyperlink>
      <w:r>
        <w:rPr>
          <w:sz w:val="20"/>
        </w:rPr>
        <w:t xml:space="preserve">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июня года, следующего за годом предоставления субсидии (V</w:t>
      </w:r>
      <w:r>
        <w:rPr>
          <w:sz w:val="20"/>
          <w:vertAlign w:val="subscript"/>
        </w:rPr>
        <w:t xml:space="preserve">возврат</w:t>
      </w:r>
      <w:r>
        <w:rPr>
          <w:sz w:val="20"/>
        </w:rPr>
        <w:t xml:space="preserve">), рассчитывается по формуле:</w:t>
      </w:r>
    </w:p>
    <w:p>
      <w:pPr>
        <w:pStyle w:val="0"/>
        <w:ind w:firstLine="540"/>
        <w:jc w:val="both"/>
      </w:pPr>
      <w:r>
        <w:rPr>
          <w:sz w:val="20"/>
        </w:rPr>
      </w:r>
    </w:p>
    <w:p>
      <w:pPr>
        <w:pStyle w:val="0"/>
        <w:jc w:val="center"/>
      </w:pPr>
      <w:r>
        <w:rPr>
          <w:sz w:val="20"/>
        </w:rPr>
        <w:t xml:space="preserve">V</w:t>
      </w:r>
      <w:r>
        <w:rPr>
          <w:sz w:val="20"/>
          <w:vertAlign w:val="subscript"/>
        </w:rPr>
        <w:t xml:space="preserve">возврат</w:t>
      </w:r>
      <w:r>
        <w:rPr>
          <w:sz w:val="20"/>
        </w:rPr>
        <w:t xml:space="preserve"> = (V</w:t>
      </w:r>
      <w:r>
        <w:rPr>
          <w:sz w:val="20"/>
          <w:vertAlign w:val="subscript"/>
        </w:rPr>
        <w:t xml:space="preserve">субсидии</w:t>
      </w:r>
      <w:r>
        <w:rPr>
          <w:sz w:val="20"/>
        </w:rPr>
        <w:t xml:space="preserve"> x k x m / n) x 0,1,</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w:t>
      </w:r>
      <w:r>
        <w:rPr>
          <w:sz w:val="20"/>
          <w:vertAlign w:val="subscript"/>
        </w:rPr>
        <w:t xml:space="preserve">субсидии</w:t>
      </w:r>
      <w:r>
        <w:rPr>
          <w:sz w:val="20"/>
        </w:rPr>
        <w:t xml:space="preserve"> - размер субсидии, предоставленной бюджету муниципального образования;</w:t>
      </w:r>
    </w:p>
    <w:p>
      <w:pPr>
        <w:pStyle w:val="0"/>
        <w:spacing w:before="200" w:line-rule="auto"/>
        <w:ind w:firstLine="540"/>
        <w:jc w:val="both"/>
      </w:pPr>
      <w:r>
        <w:rPr>
          <w:sz w:val="20"/>
        </w:rPr>
        <w:t xml:space="preserve">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pPr>
        <w:pStyle w:val="0"/>
        <w:spacing w:before="200" w:line-rule="auto"/>
        <w:ind w:firstLine="540"/>
        <w:jc w:val="both"/>
      </w:pPr>
      <w:r>
        <w:rPr>
          <w:sz w:val="20"/>
        </w:rPr>
        <w:t xml:space="preserve">n - общее количество показателей результативности использования субсидии;</w:t>
      </w:r>
    </w:p>
    <w:p>
      <w:pPr>
        <w:pStyle w:val="0"/>
        <w:spacing w:before="200" w:line-rule="auto"/>
        <w:ind w:firstLine="540"/>
        <w:jc w:val="both"/>
      </w:pPr>
      <w:r>
        <w:rPr>
          <w:sz w:val="20"/>
        </w:rPr>
        <w:t xml:space="preserve">k - коэффициент возврата субсидии.</w:t>
      </w:r>
    </w:p>
    <w:p>
      <w:pPr>
        <w:pStyle w:val="0"/>
        <w:spacing w:before="200" w:line-rule="auto"/>
        <w:ind w:firstLine="540"/>
        <w:jc w:val="both"/>
      </w:pPr>
      <w:r>
        <w:rPr>
          <w:sz w:val="20"/>
        </w:rPr>
        <w:t xml:space="preserve">16. Коэффициент возврата субсидии рассчитывается по формуле:</w:t>
      </w:r>
    </w:p>
    <w:p>
      <w:pPr>
        <w:pStyle w:val="0"/>
        <w:ind w:firstLine="540"/>
        <w:jc w:val="both"/>
      </w:pPr>
      <w:r>
        <w:rPr>
          <w:sz w:val="20"/>
        </w:rPr>
      </w:r>
    </w:p>
    <w:p>
      <w:pPr>
        <w:pStyle w:val="0"/>
        <w:jc w:val="center"/>
      </w:pPr>
      <w:r>
        <w:rPr>
          <w:sz w:val="20"/>
        </w:rPr>
        <w:t xml:space="preserve">k = SUM D</w:t>
      </w:r>
      <w:r>
        <w:rPr>
          <w:sz w:val="20"/>
          <w:vertAlign w:val="subscript"/>
        </w:rPr>
        <w:t xml:space="preserve">i</w:t>
      </w:r>
      <w:r>
        <w:rPr>
          <w:sz w:val="20"/>
        </w:rPr>
        <w:t xml:space="preserve"> / m,</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w:t>
      </w:r>
      <w:r>
        <w:rPr>
          <w:sz w:val="20"/>
          <w:vertAlign w:val="subscript"/>
        </w:rPr>
        <w:t xml:space="preserve">i</w:t>
      </w:r>
      <w:r>
        <w:rPr>
          <w:sz w:val="20"/>
        </w:rPr>
        <w:t xml:space="preserve"> - индекс, отражающий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pPr>
        <w:pStyle w:val="0"/>
        <w:spacing w:before="200" w:line-rule="auto"/>
        <w:ind w:firstLine="540"/>
        <w:jc w:val="both"/>
      </w:pPr>
      <w:r>
        <w:rPr>
          <w:sz w:val="20"/>
        </w:rPr>
        <w:t xml:space="preserve">17. Индекс, отражающий уровень недостижения i-го показателя результативности использования субсидии, определяется:</w:t>
      </w:r>
    </w:p>
    <w:p>
      <w:pPr>
        <w:pStyle w:val="0"/>
        <w:spacing w:before="200" w:line-rule="auto"/>
        <w:ind w:firstLine="540"/>
        <w:jc w:val="both"/>
      </w:pPr>
      <w:r>
        <w:rPr>
          <w:sz w:val="20"/>
        </w:rPr>
        <w:t xml:space="preserve">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Т</w:t>
      </w:r>
      <w:r>
        <w:rPr>
          <w:sz w:val="20"/>
          <w:vertAlign w:val="subscript"/>
        </w:rPr>
        <w:t xml:space="preserve">i</w:t>
      </w:r>
      <w:r>
        <w:rPr>
          <w:sz w:val="20"/>
        </w:rPr>
        <w:t xml:space="preserve"> / S</w:t>
      </w:r>
      <w:r>
        <w:rPr>
          <w:sz w:val="20"/>
          <w:vertAlign w:val="subscript"/>
        </w:rPr>
        <w:t xml:space="preserve">i</w:t>
      </w:r>
      <w:r>
        <w:rPr>
          <w:sz w:val="20"/>
        </w:rPr>
        <w:t xml:space="preserve">,</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Т</w:t>
      </w:r>
      <w:r>
        <w:rPr>
          <w:sz w:val="20"/>
          <w:vertAlign w:val="subscript"/>
        </w:rPr>
        <w:t xml:space="preserve">i</w:t>
      </w:r>
      <w:r>
        <w:rPr>
          <w:sz w:val="20"/>
        </w:rPr>
        <w:t xml:space="preserve"> - фактически достигнутое значение i-го показателя результативности использования субсидии на отчетную дату;</w:t>
      </w:r>
    </w:p>
    <w:p>
      <w:pPr>
        <w:pStyle w:val="0"/>
        <w:spacing w:before="200" w:line-rule="auto"/>
        <w:ind w:firstLine="540"/>
        <w:jc w:val="both"/>
      </w:pPr>
      <w:r>
        <w:rPr>
          <w:sz w:val="20"/>
        </w:rPr>
        <w:t xml:space="preserve">S</w:t>
      </w:r>
      <w:r>
        <w:rPr>
          <w:sz w:val="20"/>
          <w:vertAlign w:val="subscript"/>
        </w:rPr>
        <w:t xml:space="preserve">i</w:t>
      </w:r>
      <w:r>
        <w:rPr>
          <w:sz w:val="20"/>
        </w:rPr>
        <w:t xml:space="preserve"> - плановое значение i-го показателя результативности использования субсидии, установленное соглашением;</w:t>
      </w:r>
    </w:p>
    <w:p>
      <w:pPr>
        <w:pStyle w:val="0"/>
        <w:spacing w:before="200" w:line-rule="auto"/>
        <w:ind w:firstLine="540"/>
        <w:jc w:val="both"/>
      </w:pPr>
      <w:r>
        <w:rPr>
          <w:sz w:val="20"/>
        </w:rPr>
        <w:t xml:space="preserve">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pPr>
        <w:pStyle w:val="0"/>
        <w:ind w:firstLine="540"/>
        <w:jc w:val="both"/>
      </w:pPr>
      <w:r>
        <w:rPr>
          <w:sz w:val="20"/>
        </w:rPr>
      </w:r>
    </w:p>
    <w:p>
      <w:pPr>
        <w:pStyle w:val="0"/>
        <w:jc w:val="center"/>
      </w:pPr>
      <w:r>
        <w:rPr>
          <w:sz w:val="20"/>
        </w:rPr>
        <w:t xml:space="preserve">D</w:t>
      </w:r>
      <w:r>
        <w:rPr>
          <w:sz w:val="20"/>
          <w:vertAlign w:val="subscript"/>
        </w:rPr>
        <w:t xml:space="preserve">i</w:t>
      </w:r>
      <w:r>
        <w:rPr>
          <w:sz w:val="20"/>
        </w:rPr>
        <w:t xml:space="preserve"> = 1 - S</w:t>
      </w:r>
      <w:r>
        <w:rPr>
          <w:sz w:val="20"/>
          <w:vertAlign w:val="subscript"/>
        </w:rPr>
        <w:t xml:space="preserve">i</w:t>
      </w:r>
      <w:r>
        <w:rPr>
          <w:sz w:val="20"/>
        </w:rPr>
        <w:t xml:space="preserve"> / Т</w:t>
      </w:r>
      <w:r>
        <w:rPr>
          <w:sz w:val="20"/>
          <w:vertAlign w:val="subscript"/>
        </w:rPr>
        <w:t xml:space="preserve">i</w:t>
      </w:r>
      <w:r>
        <w:rPr>
          <w:sz w:val="20"/>
        </w:rPr>
        <w:t xml:space="preserve">,</w:t>
      </w:r>
    </w:p>
    <w:p>
      <w:pPr>
        <w:pStyle w:val="0"/>
        <w:ind w:firstLine="540"/>
        <w:jc w:val="both"/>
      </w:pPr>
      <w:r>
        <w:rPr>
          <w:sz w:val="20"/>
        </w:rPr>
      </w:r>
    </w:p>
    <w:p>
      <w:pPr>
        <w:pStyle w:val="0"/>
        <w:ind w:firstLine="540"/>
        <w:jc w:val="both"/>
      </w:pPr>
      <w:r>
        <w:rPr>
          <w:sz w:val="20"/>
        </w:rPr>
        <w:t xml:space="preserve">18. Основанием для освобождения муниципальных образований от применения мер ответственности, предусмотренных </w:t>
      </w:r>
      <w:hyperlink w:history="0" w:anchor="P10879" w:tooltip="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15</w:t>
        </w:r>
      </w:hyperlink>
      <w:r>
        <w:rPr>
          <w:sz w:val="20"/>
        </w:rPr>
        <w:t xml:space="preserve">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pPr>
        <w:pStyle w:val="0"/>
        <w:spacing w:before="200" w:line-rule="auto"/>
        <w:ind w:firstLine="540"/>
        <w:jc w:val="both"/>
      </w:pPr>
      <w:r>
        <w:rPr>
          <w:sz w:val="20"/>
        </w:rPr>
        <w:t xml:space="preserve">В случае отсутствия оснований для освобождения муниципальных образований от применения мер ответственности, предусмотренных пунктом 15 Порядка, главный распорядитель средств областного бюджета не позднее 20 апреля года, следующего за годом предоставления субсидии, представляет в департамент финансов и бюджетной политики Белгородской области предложения о перераспределении средств, подлежащих возврату в доход областного бюджета в соответствии с пунктом 15 Порядка, на иные цели.</w:t>
      </w:r>
    </w:p>
    <w:p>
      <w:pPr>
        <w:pStyle w:val="0"/>
        <w:spacing w:before="200" w:line-rule="auto"/>
        <w:ind w:firstLine="540"/>
        <w:jc w:val="both"/>
      </w:pPr>
      <w:r>
        <w:rPr>
          <w:sz w:val="20"/>
        </w:rPr>
        <w:t xml:space="preserve">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w:t>
      </w:r>
      <w:hyperlink w:history="0" w:anchor="P10879" w:tooltip="15.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б&quot; пункта 8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
        <w:r>
          <w:rPr>
            <w:sz w:val="20"/>
            <w:color w:val="0000ff"/>
          </w:rPr>
          <w:t xml:space="preserve">пунктом 15</w:t>
        </w:r>
      </w:hyperlink>
      <w:r>
        <w:rPr>
          <w:sz w:val="20"/>
        </w:rPr>
        <w:t xml:space="preserve"> Порядка, к нему применяются бюджетные меры принуждения, предусмотренные бюджетным законодательством Российской Федерации.</w:t>
      </w:r>
    </w:p>
    <w:p>
      <w:pPr>
        <w:pStyle w:val="0"/>
        <w:spacing w:before="200" w:line-rule="auto"/>
        <w:ind w:firstLine="540"/>
        <w:jc w:val="both"/>
      </w:pPr>
      <w:r>
        <w:rPr>
          <w:sz w:val="20"/>
        </w:rPr>
        <w:t xml:space="preserve">Основанием для освобождения муниципальных образований от применения мер ответственности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0"/>
        <w:spacing w:before="200" w:line-rule="auto"/>
        <w:ind w:firstLine="540"/>
        <w:jc w:val="both"/>
      </w:pPr>
      <w:r>
        <w:rPr>
          <w:sz w:val="20"/>
        </w:rPr>
        <w:t xml:space="preserve">20. В случае отсутствия потребности в субсидиях и отсутствия заключенного по состоянию на 1 мая текущего финансового года между муниципальным образованием и главным распорядителем средств областного бюджета соглашения о предоставлении субсидий из областного бюджета бюджету муниципального образования, главный распорядитель средств областного бюджета на основании письменного обращения муниципального образования вправе в течение текущего финансового года перераспределить неиспользованный объем субсидий между муниципальными образованиями, которые имеют право на предоставление субсидий.</w:t>
      </w:r>
    </w:p>
    <w:p>
      <w:pPr>
        <w:pStyle w:val="0"/>
        <w:spacing w:before="200" w:line-rule="auto"/>
        <w:ind w:firstLine="540"/>
        <w:jc w:val="both"/>
      </w:pPr>
      <w:r>
        <w:rPr>
          <w:sz w:val="20"/>
        </w:rPr>
        <w:t xml:space="preserve">21. Остаток не использованных в текущем финансовом году субсидий, полученный в результате экономии средств при выполнении мероприятий, указанных в </w:t>
      </w:r>
      <w:hyperlink w:history="0" w:anchor="P10829" w:tooltip="2. Субсидии предоставляются главным распорядителем средств областного бюджета - министерством жилищно-коммунального хозяйства Белгородской области (далее - главный распорядитель средств областного бюджета) в целях оказания финансовой поддержки при исполнении расходных обязательств, возникающих при выполнении органами местного самоуправления полномочий по вопросам местного значения по реализации муниципальных программ, включающих мероприятия по разработке проектно-сметной документации на рекультивацию объ...">
        <w:r>
          <w:rPr>
            <w:sz w:val="20"/>
            <w:color w:val="0000ff"/>
          </w:rPr>
          <w:t xml:space="preserve">пункте 2</w:t>
        </w:r>
      </w:hyperlink>
      <w:r>
        <w:rPr>
          <w:sz w:val="20"/>
        </w:rPr>
        <w:t xml:space="preserve"> Порядка, перераспределяется главным распорядителем средств областного бюджета на соответствующие цели между муниципальными образованиями, имеющими право на получение субсидий в текущем финансовом году, при наличии письменного согласия муниципальных образований - получателей субсидий, в бюджетах которых образовалась экономия.</w:t>
      </w:r>
    </w:p>
    <w:p>
      <w:pPr>
        <w:pStyle w:val="0"/>
        <w:spacing w:before="200" w:line-rule="auto"/>
        <w:ind w:firstLine="540"/>
        <w:jc w:val="both"/>
      </w:pPr>
      <w:r>
        <w:rPr>
          <w:sz w:val="20"/>
        </w:rPr>
        <w:t xml:space="preserve">Неиспользованный объем субсидий перераспределяется между муниципальными образованиями в соответствии с Порядком.</w:t>
      </w:r>
    </w:p>
    <w:p>
      <w:pPr>
        <w:pStyle w:val="0"/>
        <w:spacing w:before="200" w:line-rule="auto"/>
        <w:ind w:firstLine="540"/>
        <w:jc w:val="both"/>
      </w:pPr>
      <w:r>
        <w:rPr>
          <w:sz w:val="20"/>
        </w:rPr>
        <w:t xml:space="preserve">22. Эффективность использования субсидий оценивается ежегодно главным распорядителем средств областного бюджета на основе следующего показателя результативности использования субсидий:</w:t>
      </w:r>
    </w:p>
    <w:p>
      <w:pPr>
        <w:pStyle w:val="0"/>
        <w:spacing w:before="200" w:line-rule="auto"/>
        <w:ind w:firstLine="540"/>
        <w:jc w:val="both"/>
      </w:pPr>
      <w:r>
        <w:rPr>
          <w:sz w:val="20"/>
        </w:rPr>
        <w:t xml:space="preserve">- количество разработанных проектов на рекультивацию объектов накопленного вреда окружающей среде, включая положительное заключение государственной экологической экспертизы и заключение о проверке достоверности определения сметной стоимости природоохранных проектов, штук.</w:t>
      </w:r>
    </w:p>
    <w:p>
      <w:pPr>
        <w:pStyle w:val="0"/>
        <w:spacing w:before="200" w:line-rule="auto"/>
        <w:ind w:firstLine="540"/>
        <w:jc w:val="both"/>
      </w:pPr>
      <w:r>
        <w:rPr>
          <w:sz w:val="20"/>
        </w:rPr>
        <w:t xml:space="preserve">23. Контроль за соблюдением муниципальными образованиями условий, целей и порядка предоставления субсидий из областного бюджета осуществляется главным распорядителем средств областного бюджета.</w:t>
      </w:r>
    </w:p>
    <w:p>
      <w:pPr>
        <w:pStyle w:val="0"/>
        <w:spacing w:before="200" w:line-rule="auto"/>
        <w:ind w:firstLine="540"/>
        <w:jc w:val="both"/>
      </w:pPr>
      <w:r>
        <w:rPr>
          <w:sz w:val="20"/>
        </w:rPr>
        <w:t xml:space="preserve">Органы государственного финансового контроля осуществляют контроль в соответствии с их полномочиями, установленными Бюджетным </w:t>
      </w:r>
      <w:hyperlink w:history="0" r:id="rId261" w:tooltip="&quot;Бюджетный кодекс Российской Федерации&quot; от 31.07.1998 N 145-ФЗ (ред. от 14.04.2023) ------------ Недействующая редакция {КонсультантПлюс}">
        <w:r>
          <w:rPr>
            <w:sz w:val="20"/>
            <w:color w:val="0000ff"/>
          </w:rPr>
          <w:t xml:space="preserve">кодексом</w:t>
        </w:r>
      </w:hyperlink>
      <w:r>
        <w:rPr>
          <w:sz w:val="20"/>
        </w:rPr>
        <w:t xml:space="preserve"> Российской Федерации и иными нормативными правовыми актами Российской Федерации и Белгородской области.</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12</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center"/>
      </w:pPr>
      <w:r>
        <w:rPr>
          <w:sz w:val="20"/>
        </w:rPr>
      </w:r>
    </w:p>
    <w:bookmarkStart w:id="10929" w:name="P10929"/>
    <w:bookmarkEnd w:id="10929"/>
    <w:p>
      <w:pPr>
        <w:pStyle w:val="2"/>
        <w:jc w:val="center"/>
      </w:pPr>
      <w:r>
        <w:rPr>
          <w:sz w:val="20"/>
        </w:rPr>
        <w:t xml:space="preserve">Перечень контейнерных площадок, оборудованных или</w:t>
      </w:r>
    </w:p>
    <w:p>
      <w:pPr>
        <w:pStyle w:val="2"/>
        <w:jc w:val="center"/>
      </w:pPr>
      <w:r>
        <w:rPr>
          <w:sz w:val="20"/>
        </w:rPr>
        <w:t xml:space="preserve">планируемых к оборудованию контейнерами для раздельного</w:t>
      </w:r>
    </w:p>
    <w:p>
      <w:pPr>
        <w:pStyle w:val="2"/>
        <w:jc w:val="center"/>
      </w:pPr>
      <w:r>
        <w:rPr>
          <w:sz w:val="20"/>
        </w:rPr>
        <w:t xml:space="preserve">накопления твердых коммунальных отходов</w:t>
      </w:r>
    </w:p>
    <w:p>
      <w:pPr>
        <w:pStyle w:val="2"/>
        <w:jc w:val="center"/>
      </w:pPr>
      <w:r>
        <w:rPr>
          <w:sz w:val="20"/>
        </w:rPr>
        <w:t xml:space="preserve">на территории Белгородской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62"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25.10.2021 N 483-пп)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4"/>
        <w:gridCol w:w="2211"/>
        <w:gridCol w:w="964"/>
        <w:gridCol w:w="850"/>
        <w:gridCol w:w="907"/>
        <w:gridCol w:w="907"/>
        <w:gridCol w:w="964"/>
        <w:gridCol w:w="850"/>
        <w:gridCol w:w="907"/>
        <w:gridCol w:w="964"/>
        <w:gridCol w:w="907"/>
        <w:gridCol w:w="964"/>
        <w:gridCol w:w="964"/>
        <w:gridCol w:w="850"/>
      </w:tblGrid>
      <w:tr>
        <w:tc>
          <w:tcPr>
            <w:tcW w:w="364" w:type="dxa"/>
            <w:vMerge w:val="restart"/>
          </w:tcPr>
          <w:p>
            <w:pPr>
              <w:pStyle w:val="0"/>
              <w:jc w:val="center"/>
            </w:pPr>
            <w:r>
              <w:rPr>
                <w:sz w:val="20"/>
              </w:rPr>
              <w:t xml:space="preserve">N</w:t>
            </w:r>
          </w:p>
        </w:tc>
        <w:tc>
          <w:tcPr>
            <w:tcW w:w="2211" w:type="dxa"/>
            <w:vMerge w:val="restart"/>
          </w:tcPr>
          <w:p>
            <w:pPr>
              <w:pStyle w:val="0"/>
              <w:jc w:val="center"/>
            </w:pPr>
            <w:r>
              <w:rPr>
                <w:sz w:val="20"/>
              </w:rPr>
              <w:t xml:space="preserve">Муниципальное образование</w:t>
            </w:r>
          </w:p>
        </w:tc>
        <w:tc>
          <w:tcPr>
            <w:gridSpan w:val="12"/>
            <w:tcW w:w="10998" w:type="dxa"/>
          </w:tcPr>
          <w:p>
            <w:pPr>
              <w:pStyle w:val="0"/>
              <w:jc w:val="center"/>
            </w:pPr>
            <w:r>
              <w:rPr>
                <w:sz w:val="20"/>
              </w:rPr>
              <w:t xml:space="preserve">Показатели по раздельному накоплению твердых коммунальных отходов</w:t>
            </w:r>
          </w:p>
        </w:tc>
      </w:tr>
      <w:tr>
        <w:tc>
          <w:tcPr>
            <w:vMerge w:val="continue"/>
          </w:tcPr>
          <w:p/>
        </w:tc>
        <w:tc>
          <w:tcPr>
            <w:vMerge w:val="continue"/>
          </w:tcPr>
          <w:p/>
        </w:tc>
        <w:tc>
          <w:tcPr>
            <w:gridSpan w:val="2"/>
            <w:tcW w:w="1814" w:type="dxa"/>
          </w:tcPr>
          <w:p>
            <w:pPr>
              <w:pStyle w:val="0"/>
              <w:jc w:val="center"/>
            </w:pPr>
            <w:r>
              <w:rPr>
                <w:sz w:val="20"/>
              </w:rPr>
              <w:t xml:space="preserve">2019 год (базовый)</w:t>
            </w:r>
          </w:p>
        </w:tc>
        <w:tc>
          <w:tcPr>
            <w:gridSpan w:val="2"/>
            <w:tcW w:w="1814" w:type="dxa"/>
          </w:tcPr>
          <w:p>
            <w:pPr>
              <w:pStyle w:val="0"/>
              <w:jc w:val="center"/>
            </w:pPr>
            <w:r>
              <w:rPr>
                <w:sz w:val="20"/>
              </w:rPr>
              <w:t xml:space="preserve">2020 год</w:t>
            </w:r>
          </w:p>
        </w:tc>
        <w:tc>
          <w:tcPr>
            <w:gridSpan w:val="2"/>
            <w:tcW w:w="1814" w:type="dxa"/>
          </w:tcPr>
          <w:p>
            <w:pPr>
              <w:pStyle w:val="0"/>
              <w:jc w:val="center"/>
            </w:pPr>
            <w:r>
              <w:rPr>
                <w:sz w:val="20"/>
              </w:rPr>
              <w:t xml:space="preserve">2021 год (план)</w:t>
            </w:r>
          </w:p>
        </w:tc>
        <w:tc>
          <w:tcPr>
            <w:gridSpan w:val="2"/>
            <w:tcW w:w="1871" w:type="dxa"/>
          </w:tcPr>
          <w:p>
            <w:pPr>
              <w:pStyle w:val="0"/>
              <w:jc w:val="center"/>
            </w:pPr>
            <w:r>
              <w:rPr>
                <w:sz w:val="20"/>
              </w:rPr>
              <w:t xml:space="preserve">2022 год (план)</w:t>
            </w:r>
          </w:p>
        </w:tc>
        <w:tc>
          <w:tcPr>
            <w:gridSpan w:val="2"/>
            <w:tcW w:w="1871" w:type="dxa"/>
          </w:tcPr>
          <w:p>
            <w:pPr>
              <w:pStyle w:val="0"/>
              <w:jc w:val="center"/>
            </w:pPr>
            <w:r>
              <w:rPr>
                <w:sz w:val="20"/>
              </w:rPr>
              <w:t xml:space="preserve">2023 год (план)</w:t>
            </w:r>
          </w:p>
        </w:tc>
        <w:tc>
          <w:tcPr>
            <w:gridSpan w:val="2"/>
            <w:tcW w:w="1814" w:type="dxa"/>
          </w:tcPr>
          <w:p>
            <w:pPr>
              <w:pStyle w:val="0"/>
              <w:jc w:val="center"/>
            </w:pPr>
            <w:r>
              <w:rPr>
                <w:sz w:val="20"/>
              </w:rPr>
              <w:t xml:space="preserve">2024 год (план)</w:t>
            </w:r>
          </w:p>
        </w:tc>
      </w:tr>
      <w:tr>
        <w:tc>
          <w:tcPr>
            <w:vMerge w:val="continue"/>
          </w:tcPr>
          <w:p/>
        </w:tc>
        <w:tc>
          <w:tcPr>
            <w:vMerge w:val="continue"/>
          </w:tcPr>
          <w:p/>
        </w:tc>
        <w:tc>
          <w:tcPr>
            <w:tcW w:w="964" w:type="dxa"/>
          </w:tcPr>
          <w:p>
            <w:pPr>
              <w:pStyle w:val="0"/>
              <w:jc w:val="center"/>
            </w:pPr>
            <w:r>
              <w:rPr>
                <w:sz w:val="20"/>
              </w:rPr>
              <w:t xml:space="preserve">Контейнерная площадка, шт.</w:t>
            </w:r>
          </w:p>
        </w:tc>
        <w:tc>
          <w:tcPr>
            <w:tcW w:w="850" w:type="dxa"/>
          </w:tcPr>
          <w:p>
            <w:pPr>
              <w:pStyle w:val="0"/>
              <w:jc w:val="center"/>
            </w:pPr>
            <w:r>
              <w:rPr>
                <w:sz w:val="20"/>
              </w:rPr>
              <w:t xml:space="preserve">Контейнеры, шт.</w:t>
            </w:r>
          </w:p>
        </w:tc>
        <w:tc>
          <w:tcPr>
            <w:tcW w:w="907" w:type="dxa"/>
          </w:tcPr>
          <w:p>
            <w:pPr>
              <w:pStyle w:val="0"/>
              <w:jc w:val="center"/>
            </w:pPr>
            <w:r>
              <w:rPr>
                <w:sz w:val="20"/>
              </w:rPr>
              <w:t xml:space="preserve">Контейнерная площадка, шт.</w:t>
            </w:r>
          </w:p>
        </w:tc>
        <w:tc>
          <w:tcPr>
            <w:tcW w:w="907" w:type="dxa"/>
          </w:tcPr>
          <w:p>
            <w:pPr>
              <w:pStyle w:val="0"/>
              <w:jc w:val="center"/>
            </w:pPr>
            <w:r>
              <w:rPr>
                <w:sz w:val="20"/>
              </w:rPr>
              <w:t xml:space="preserve">Контейнеры, шт.</w:t>
            </w:r>
          </w:p>
        </w:tc>
        <w:tc>
          <w:tcPr>
            <w:tcW w:w="964" w:type="dxa"/>
          </w:tcPr>
          <w:p>
            <w:pPr>
              <w:pStyle w:val="0"/>
              <w:jc w:val="center"/>
            </w:pPr>
            <w:r>
              <w:rPr>
                <w:sz w:val="20"/>
              </w:rPr>
              <w:t xml:space="preserve">Контейнерная площадка, шт.</w:t>
            </w:r>
          </w:p>
        </w:tc>
        <w:tc>
          <w:tcPr>
            <w:tcW w:w="850" w:type="dxa"/>
          </w:tcPr>
          <w:p>
            <w:pPr>
              <w:pStyle w:val="0"/>
              <w:jc w:val="center"/>
            </w:pPr>
            <w:r>
              <w:rPr>
                <w:sz w:val="20"/>
              </w:rPr>
              <w:t xml:space="preserve">Контейнеры, шт.</w:t>
            </w:r>
          </w:p>
        </w:tc>
        <w:tc>
          <w:tcPr>
            <w:tcW w:w="907" w:type="dxa"/>
          </w:tcPr>
          <w:p>
            <w:pPr>
              <w:pStyle w:val="0"/>
              <w:jc w:val="center"/>
            </w:pPr>
            <w:r>
              <w:rPr>
                <w:sz w:val="20"/>
              </w:rPr>
              <w:t xml:space="preserve">Контейнерная площадка, шт.</w:t>
            </w:r>
          </w:p>
        </w:tc>
        <w:tc>
          <w:tcPr>
            <w:tcW w:w="964" w:type="dxa"/>
          </w:tcPr>
          <w:p>
            <w:pPr>
              <w:pStyle w:val="0"/>
              <w:jc w:val="center"/>
            </w:pPr>
            <w:r>
              <w:rPr>
                <w:sz w:val="20"/>
              </w:rPr>
              <w:t xml:space="preserve">Контейнеры, шт.</w:t>
            </w:r>
          </w:p>
        </w:tc>
        <w:tc>
          <w:tcPr>
            <w:tcW w:w="907" w:type="dxa"/>
          </w:tcPr>
          <w:p>
            <w:pPr>
              <w:pStyle w:val="0"/>
              <w:jc w:val="center"/>
            </w:pPr>
            <w:r>
              <w:rPr>
                <w:sz w:val="20"/>
              </w:rPr>
              <w:t xml:space="preserve">Контейнерная площадка, шт.</w:t>
            </w:r>
          </w:p>
        </w:tc>
        <w:tc>
          <w:tcPr>
            <w:tcW w:w="964" w:type="dxa"/>
          </w:tcPr>
          <w:p>
            <w:pPr>
              <w:pStyle w:val="0"/>
              <w:jc w:val="center"/>
            </w:pPr>
            <w:r>
              <w:rPr>
                <w:sz w:val="20"/>
              </w:rPr>
              <w:t xml:space="preserve">Контейнеры, шт.</w:t>
            </w:r>
          </w:p>
        </w:tc>
        <w:tc>
          <w:tcPr>
            <w:tcW w:w="964" w:type="dxa"/>
          </w:tcPr>
          <w:p>
            <w:pPr>
              <w:pStyle w:val="0"/>
              <w:jc w:val="center"/>
            </w:pPr>
            <w:r>
              <w:rPr>
                <w:sz w:val="20"/>
              </w:rPr>
              <w:t xml:space="preserve">Контейнерная площадка, шт.</w:t>
            </w:r>
          </w:p>
        </w:tc>
        <w:tc>
          <w:tcPr>
            <w:tcW w:w="850" w:type="dxa"/>
          </w:tcPr>
          <w:p>
            <w:pPr>
              <w:pStyle w:val="0"/>
              <w:jc w:val="center"/>
            </w:pPr>
            <w:r>
              <w:rPr>
                <w:sz w:val="20"/>
              </w:rPr>
              <w:t xml:space="preserve">Контейнеры шт.</w:t>
            </w:r>
          </w:p>
        </w:tc>
      </w:tr>
      <w:tr>
        <w:tc>
          <w:tcPr>
            <w:tcW w:w="364" w:type="dxa"/>
          </w:tcPr>
          <w:p>
            <w:pPr>
              <w:pStyle w:val="0"/>
              <w:jc w:val="center"/>
            </w:pPr>
            <w:r>
              <w:rPr>
                <w:sz w:val="20"/>
              </w:rPr>
              <w:t xml:space="preserve">1</w:t>
            </w:r>
          </w:p>
        </w:tc>
        <w:tc>
          <w:tcPr>
            <w:tcW w:w="2211" w:type="dxa"/>
          </w:tcPr>
          <w:p>
            <w:pPr>
              <w:pStyle w:val="0"/>
              <w:jc w:val="center"/>
            </w:pPr>
            <w:r>
              <w:rPr>
                <w:sz w:val="20"/>
              </w:rPr>
              <w:t xml:space="preserve">2</w:t>
            </w:r>
          </w:p>
        </w:tc>
        <w:tc>
          <w:tcPr>
            <w:tcW w:w="964" w:type="dxa"/>
          </w:tcPr>
          <w:p>
            <w:pPr>
              <w:pStyle w:val="0"/>
              <w:jc w:val="center"/>
            </w:pPr>
            <w:r>
              <w:rPr>
                <w:sz w:val="20"/>
              </w:rPr>
              <w:t xml:space="preserve">3</w:t>
            </w:r>
          </w:p>
        </w:tc>
        <w:tc>
          <w:tcPr>
            <w:tcW w:w="850" w:type="dxa"/>
          </w:tcPr>
          <w:p>
            <w:pPr>
              <w:pStyle w:val="0"/>
              <w:jc w:val="center"/>
            </w:pPr>
            <w:r>
              <w:rPr>
                <w:sz w:val="20"/>
              </w:rPr>
              <w:t xml:space="preserve">4</w:t>
            </w:r>
          </w:p>
        </w:tc>
        <w:tc>
          <w:tcPr>
            <w:tcW w:w="907" w:type="dxa"/>
          </w:tcPr>
          <w:p>
            <w:pPr>
              <w:pStyle w:val="0"/>
              <w:jc w:val="center"/>
            </w:pPr>
            <w:r>
              <w:rPr>
                <w:sz w:val="20"/>
              </w:rPr>
              <w:t xml:space="preserve">5</w:t>
            </w:r>
          </w:p>
        </w:tc>
        <w:tc>
          <w:tcPr>
            <w:tcW w:w="907" w:type="dxa"/>
          </w:tcPr>
          <w:p>
            <w:pPr>
              <w:pStyle w:val="0"/>
              <w:jc w:val="center"/>
            </w:pPr>
            <w:r>
              <w:rPr>
                <w:sz w:val="20"/>
              </w:rPr>
              <w:t xml:space="preserve">6</w:t>
            </w:r>
          </w:p>
        </w:tc>
        <w:tc>
          <w:tcPr>
            <w:tcW w:w="964" w:type="dxa"/>
          </w:tcPr>
          <w:p>
            <w:pPr>
              <w:pStyle w:val="0"/>
              <w:jc w:val="center"/>
            </w:pPr>
            <w:r>
              <w:rPr>
                <w:sz w:val="20"/>
              </w:rPr>
              <w:t xml:space="preserve">7</w:t>
            </w:r>
          </w:p>
        </w:tc>
        <w:tc>
          <w:tcPr>
            <w:tcW w:w="850" w:type="dxa"/>
          </w:tcPr>
          <w:p>
            <w:pPr>
              <w:pStyle w:val="0"/>
              <w:jc w:val="center"/>
            </w:pPr>
            <w:r>
              <w:rPr>
                <w:sz w:val="20"/>
              </w:rPr>
              <w:t xml:space="preserve">8</w:t>
            </w:r>
          </w:p>
        </w:tc>
        <w:tc>
          <w:tcPr>
            <w:tcW w:w="907" w:type="dxa"/>
          </w:tcPr>
          <w:p>
            <w:pPr>
              <w:pStyle w:val="0"/>
              <w:jc w:val="center"/>
            </w:pPr>
            <w:r>
              <w:rPr>
                <w:sz w:val="20"/>
              </w:rPr>
              <w:t xml:space="preserve">9</w:t>
            </w:r>
          </w:p>
        </w:tc>
        <w:tc>
          <w:tcPr>
            <w:tcW w:w="964" w:type="dxa"/>
          </w:tcPr>
          <w:p>
            <w:pPr>
              <w:pStyle w:val="0"/>
              <w:jc w:val="center"/>
            </w:pPr>
            <w:r>
              <w:rPr>
                <w:sz w:val="20"/>
              </w:rPr>
              <w:t xml:space="preserve">10</w:t>
            </w:r>
          </w:p>
        </w:tc>
        <w:tc>
          <w:tcPr>
            <w:tcW w:w="907" w:type="dxa"/>
          </w:tcPr>
          <w:p>
            <w:pPr>
              <w:pStyle w:val="0"/>
              <w:jc w:val="center"/>
            </w:pPr>
            <w:r>
              <w:rPr>
                <w:sz w:val="20"/>
              </w:rPr>
              <w:t xml:space="preserve">11</w:t>
            </w:r>
          </w:p>
        </w:tc>
        <w:tc>
          <w:tcPr>
            <w:tcW w:w="964" w:type="dxa"/>
          </w:tcPr>
          <w:p>
            <w:pPr>
              <w:pStyle w:val="0"/>
              <w:jc w:val="center"/>
            </w:pPr>
            <w:r>
              <w:rPr>
                <w:sz w:val="20"/>
              </w:rPr>
              <w:t xml:space="preserve">12</w:t>
            </w:r>
          </w:p>
        </w:tc>
        <w:tc>
          <w:tcPr>
            <w:tcW w:w="964" w:type="dxa"/>
          </w:tcPr>
          <w:p>
            <w:pPr>
              <w:pStyle w:val="0"/>
              <w:jc w:val="center"/>
            </w:pPr>
            <w:r>
              <w:rPr>
                <w:sz w:val="20"/>
              </w:rPr>
              <w:t xml:space="preserve">13</w:t>
            </w:r>
          </w:p>
        </w:tc>
        <w:tc>
          <w:tcPr>
            <w:tcW w:w="850" w:type="dxa"/>
          </w:tcPr>
          <w:p>
            <w:pPr>
              <w:pStyle w:val="0"/>
              <w:jc w:val="center"/>
            </w:pPr>
            <w:r>
              <w:rPr>
                <w:sz w:val="20"/>
              </w:rPr>
              <w:t xml:space="preserve">14</w:t>
            </w:r>
          </w:p>
        </w:tc>
      </w:tr>
      <w:tr>
        <w:tc>
          <w:tcPr>
            <w:tcW w:w="364" w:type="dxa"/>
            <w:vAlign w:val="center"/>
          </w:tcPr>
          <w:p>
            <w:pPr>
              <w:pStyle w:val="0"/>
              <w:jc w:val="center"/>
            </w:pPr>
            <w:r>
              <w:rPr>
                <w:sz w:val="20"/>
              </w:rPr>
              <w:t xml:space="preserve">1</w:t>
            </w:r>
          </w:p>
        </w:tc>
        <w:tc>
          <w:tcPr>
            <w:tcW w:w="2211" w:type="dxa"/>
            <w:vAlign w:val="center"/>
          </w:tcPr>
          <w:p>
            <w:pPr>
              <w:pStyle w:val="0"/>
            </w:pPr>
            <w:r>
              <w:rPr>
                <w:sz w:val="20"/>
              </w:rPr>
              <w:t xml:space="preserve">Алексеевский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64" w:type="dxa"/>
            <w:vAlign w:val="center"/>
            <w:vMerge w:val="restart"/>
          </w:tcPr>
          <w:p>
            <w:pPr>
              <w:pStyle w:val="0"/>
              <w:jc w:val="center"/>
            </w:pPr>
            <w:r>
              <w:rPr>
                <w:sz w:val="20"/>
              </w:rPr>
              <w:t xml:space="preserve">547</w:t>
            </w:r>
          </w:p>
        </w:tc>
        <w:tc>
          <w:tcPr>
            <w:tcW w:w="850" w:type="dxa"/>
            <w:vAlign w:val="center"/>
            <w:vMerge w:val="restart"/>
          </w:tcPr>
          <w:p>
            <w:pPr>
              <w:pStyle w:val="0"/>
              <w:jc w:val="center"/>
            </w:pPr>
            <w:r>
              <w:rPr>
                <w:sz w:val="20"/>
              </w:rPr>
              <w:t xml:space="preserve">547</w:t>
            </w:r>
          </w:p>
        </w:tc>
        <w:tc>
          <w:tcPr>
            <w:tcW w:w="907" w:type="dxa"/>
            <w:vAlign w:val="center"/>
            <w:vMerge w:val="restart"/>
          </w:tcPr>
          <w:p>
            <w:pPr>
              <w:pStyle w:val="0"/>
              <w:jc w:val="center"/>
            </w:pPr>
            <w:r>
              <w:rPr>
                <w:sz w:val="20"/>
              </w:rPr>
              <w:t xml:space="preserve">7521</w:t>
            </w:r>
          </w:p>
        </w:tc>
        <w:tc>
          <w:tcPr>
            <w:tcW w:w="964" w:type="dxa"/>
            <w:vAlign w:val="center"/>
            <w:vMerge w:val="restart"/>
          </w:tcPr>
          <w:p>
            <w:pPr>
              <w:pStyle w:val="0"/>
              <w:jc w:val="center"/>
            </w:pPr>
            <w:r>
              <w:rPr>
                <w:sz w:val="20"/>
              </w:rPr>
              <w:t xml:space="preserve">7521</w:t>
            </w: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2</w:t>
            </w:r>
          </w:p>
        </w:tc>
        <w:tc>
          <w:tcPr>
            <w:tcW w:w="2211" w:type="dxa"/>
            <w:vAlign w:val="center"/>
          </w:tcPr>
          <w:p>
            <w:pPr>
              <w:pStyle w:val="0"/>
            </w:pPr>
            <w:r>
              <w:rPr>
                <w:sz w:val="20"/>
              </w:rPr>
              <w:t xml:space="preserve">Город Белгород</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19</w:t>
            </w:r>
          </w:p>
        </w:tc>
        <w:tc>
          <w:tcPr>
            <w:tcW w:w="907" w:type="dxa"/>
            <w:vAlign w:val="center"/>
          </w:tcPr>
          <w:p>
            <w:pPr>
              <w:pStyle w:val="0"/>
              <w:jc w:val="center"/>
            </w:pPr>
            <w:r>
              <w:rPr>
                <w:sz w:val="20"/>
              </w:rPr>
              <w:t xml:space="preserve">76</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3</w:t>
            </w:r>
          </w:p>
        </w:tc>
        <w:tc>
          <w:tcPr>
            <w:tcW w:w="2211" w:type="dxa"/>
            <w:vAlign w:val="center"/>
          </w:tcPr>
          <w:p>
            <w:pPr>
              <w:pStyle w:val="0"/>
            </w:pPr>
            <w:r>
              <w:rPr>
                <w:sz w:val="20"/>
              </w:rPr>
              <w:t xml:space="preserve">Белгородский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4</w:t>
            </w:r>
          </w:p>
        </w:tc>
        <w:tc>
          <w:tcPr>
            <w:tcW w:w="2211" w:type="dxa"/>
            <w:vAlign w:val="center"/>
          </w:tcPr>
          <w:p>
            <w:pPr>
              <w:pStyle w:val="0"/>
            </w:pPr>
            <w:r>
              <w:rPr>
                <w:sz w:val="20"/>
              </w:rPr>
              <w:t xml:space="preserve">Борисовский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5</w:t>
            </w:r>
          </w:p>
        </w:tc>
        <w:tc>
          <w:tcPr>
            <w:tcW w:w="2211" w:type="dxa"/>
            <w:vAlign w:val="center"/>
          </w:tcPr>
          <w:p>
            <w:pPr>
              <w:pStyle w:val="0"/>
            </w:pPr>
            <w:r>
              <w:rPr>
                <w:sz w:val="20"/>
              </w:rPr>
              <w:t xml:space="preserve">Валуйский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6</w:t>
            </w:r>
          </w:p>
        </w:tc>
        <w:tc>
          <w:tcPr>
            <w:tcW w:w="2211" w:type="dxa"/>
            <w:vAlign w:val="center"/>
          </w:tcPr>
          <w:p>
            <w:pPr>
              <w:pStyle w:val="0"/>
            </w:pPr>
            <w:r>
              <w:rPr>
                <w:sz w:val="20"/>
              </w:rPr>
              <w:t xml:space="preserve">Вейделевский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7</w:t>
            </w:r>
          </w:p>
        </w:tc>
        <w:tc>
          <w:tcPr>
            <w:tcW w:w="2211" w:type="dxa"/>
            <w:vAlign w:val="center"/>
          </w:tcPr>
          <w:p>
            <w:pPr>
              <w:pStyle w:val="0"/>
            </w:pPr>
            <w:r>
              <w:rPr>
                <w:sz w:val="20"/>
              </w:rPr>
              <w:t xml:space="preserve">Волоконовский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8</w:t>
            </w:r>
          </w:p>
        </w:tc>
        <w:tc>
          <w:tcPr>
            <w:tcW w:w="2211" w:type="dxa"/>
            <w:vAlign w:val="center"/>
          </w:tcPr>
          <w:p>
            <w:pPr>
              <w:pStyle w:val="0"/>
            </w:pPr>
            <w:r>
              <w:rPr>
                <w:sz w:val="20"/>
              </w:rPr>
              <w:t xml:space="preserve">Грайворонский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9</w:t>
            </w:r>
          </w:p>
        </w:tc>
        <w:tc>
          <w:tcPr>
            <w:tcW w:w="2211" w:type="dxa"/>
            <w:vAlign w:val="center"/>
          </w:tcPr>
          <w:p>
            <w:pPr>
              <w:pStyle w:val="0"/>
            </w:pPr>
            <w:r>
              <w:rPr>
                <w:sz w:val="20"/>
              </w:rPr>
              <w:t xml:space="preserve">Губкинский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97</w:t>
            </w:r>
          </w:p>
        </w:tc>
        <w:tc>
          <w:tcPr>
            <w:tcW w:w="907" w:type="dxa"/>
            <w:vAlign w:val="center"/>
          </w:tcPr>
          <w:p>
            <w:pPr>
              <w:pStyle w:val="0"/>
              <w:jc w:val="center"/>
            </w:pPr>
            <w:r>
              <w:rPr>
                <w:sz w:val="20"/>
              </w:rPr>
              <w:t xml:space="preserve">99</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10</w:t>
            </w:r>
          </w:p>
        </w:tc>
        <w:tc>
          <w:tcPr>
            <w:tcW w:w="2211" w:type="dxa"/>
            <w:vAlign w:val="center"/>
          </w:tcPr>
          <w:p>
            <w:pPr>
              <w:pStyle w:val="0"/>
            </w:pPr>
            <w:r>
              <w:rPr>
                <w:sz w:val="20"/>
              </w:rPr>
              <w:t xml:space="preserve">Ивнянский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11</w:t>
            </w:r>
          </w:p>
        </w:tc>
        <w:tc>
          <w:tcPr>
            <w:tcW w:w="2211" w:type="dxa"/>
            <w:vAlign w:val="center"/>
          </w:tcPr>
          <w:p>
            <w:pPr>
              <w:pStyle w:val="0"/>
            </w:pPr>
            <w:r>
              <w:rPr>
                <w:sz w:val="20"/>
              </w:rPr>
              <w:t xml:space="preserve">Корочанский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12</w:t>
            </w:r>
          </w:p>
        </w:tc>
        <w:tc>
          <w:tcPr>
            <w:tcW w:w="2211" w:type="dxa"/>
            <w:vAlign w:val="center"/>
          </w:tcPr>
          <w:p>
            <w:pPr>
              <w:pStyle w:val="0"/>
            </w:pPr>
            <w:r>
              <w:rPr>
                <w:sz w:val="20"/>
              </w:rPr>
              <w:t xml:space="preserve">Красненский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13</w:t>
            </w:r>
          </w:p>
        </w:tc>
        <w:tc>
          <w:tcPr>
            <w:tcW w:w="2211" w:type="dxa"/>
            <w:vAlign w:val="center"/>
          </w:tcPr>
          <w:p>
            <w:pPr>
              <w:pStyle w:val="0"/>
            </w:pPr>
            <w:r>
              <w:rPr>
                <w:sz w:val="20"/>
              </w:rPr>
              <w:t xml:space="preserve">Красногвардейский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14</w:t>
            </w:r>
          </w:p>
        </w:tc>
        <w:tc>
          <w:tcPr>
            <w:tcW w:w="2211" w:type="dxa"/>
            <w:vAlign w:val="center"/>
          </w:tcPr>
          <w:p>
            <w:pPr>
              <w:pStyle w:val="0"/>
            </w:pPr>
            <w:r>
              <w:rPr>
                <w:sz w:val="20"/>
              </w:rPr>
              <w:t xml:space="preserve">Краснояружский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15</w:t>
            </w:r>
          </w:p>
        </w:tc>
        <w:tc>
          <w:tcPr>
            <w:tcW w:w="2211" w:type="dxa"/>
            <w:vAlign w:val="center"/>
          </w:tcPr>
          <w:p>
            <w:pPr>
              <w:pStyle w:val="0"/>
            </w:pPr>
            <w:r>
              <w:rPr>
                <w:sz w:val="20"/>
              </w:rPr>
              <w:t xml:space="preserve">Новооскольский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16</w:t>
            </w:r>
          </w:p>
        </w:tc>
        <w:tc>
          <w:tcPr>
            <w:tcW w:w="2211" w:type="dxa"/>
            <w:vAlign w:val="center"/>
          </w:tcPr>
          <w:p>
            <w:pPr>
              <w:pStyle w:val="0"/>
            </w:pPr>
            <w:r>
              <w:rPr>
                <w:sz w:val="20"/>
              </w:rPr>
              <w:t xml:space="preserve">Прохоровский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10</w:t>
            </w:r>
          </w:p>
        </w:tc>
        <w:tc>
          <w:tcPr>
            <w:tcW w:w="907" w:type="dxa"/>
            <w:vAlign w:val="center"/>
          </w:tcPr>
          <w:p>
            <w:pPr>
              <w:pStyle w:val="0"/>
              <w:jc w:val="center"/>
            </w:pPr>
            <w:r>
              <w:rPr>
                <w:sz w:val="20"/>
              </w:rPr>
              <w:t xml:space="preserve">10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17</w:t>
            </w:r>
          </w:p>
        </w:tc>
        <w:tc>
          <w:tcPr>
            <w:tcW w:w="2211" w:type="dxa"/>
            <w:vAlign w:val="center"/>
          </w:tcPr>
          <w:p>
            <w:pPr>
              <w:pStyle w:val="0"/>
            </w:pPr>
            <w:r>
              <w:rPr>
                <w:sz w:val="20"/>
              </w:rPr>
              <w:t xml:space="preserve">Ракитянский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18</w:t>
            </w:r>
          </w:p>
        </w:tc>
        <w:tc>
          <w:tcPr>
            <w:tcW w:w="2211" w:type="dxa"/>
            <w:vAlign w:val="center"/>
          </w:tcPr>
          <w:p>
            <w:pPr>
              <w:pStyle w:val="0"/>
            </w:pPr>
            <w:r>
              <w:rPr>
                <w:sz w:val="20"/>
              </w:rPr>
              <w:t xml:space="preserve">Ровеньский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274</w:t>
            </w:r>
          </w:p>
        </w:tc>
        <w:tc>
          <w:tcPr>
            <w:tcW w:w="907" w:type="dxa"/>
            <w:vAlign w:val="center"/>
          </w:tcPr>
          <w:p>
            <w:pPr>
              <w:pStyle w:val="0"/>
              <w:jc w:val="center"/>
            </w:pPr>
            <w:r>
              <w:rPr>
                <w:sz w:val="20"/>
              </w:rPr>
              <w:t xml:space="preserve">274</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19</w:t>
            </w:r>
          </w:p>
        </w:tc>
        <w:tc>
          <w:tcPr>
            <w:tcW w:w="2211" w:type="dxa"/>
            <w:vAlign w:val="center"/>
          </w:tcPr>
          <w:p>
            <w:pPr>
              <w:pStyle w:val="0"/>
            </w:pPr>
            <w:r>
              <w:rPr>
                <w:sz w:val="20"/>
              </w:rPr>
              <w:t xml:space="preserve">Старооскольский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33</w:t>
            </w:r>
          </w:p>
        </w:tc>
        <w:tc>
          <w:tcPr>
            <w:tcW w:w="907" w:type="dxa"/>
            <w:vAlign w:val="center"/>
          </w:tcPr>
          <w:p>
            <w:pPr>
              <w:pStyle w:val="0"/>
              <w:jc w:val="center"/>
            </w:pPr>
            <w:r>
              <w:rPr>
                <w:sz w:val="20"/>
              </w:rPr>
              <w:t xml:space="preserve">38</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20</w:t>
            </w:r>
          </w:p>
        </w:tc>
        <w:tc>
          <w:tcPr>
            <w:tcW w:w="2211" w:type="dxa"/>
            <w:vAlign w:val="center"/>
          </w:tcPr>
          <w:p>
            <w:pPr>
              <w:pStyle w:val="0"/>
            </w:pPr>
            <w:r>
              <w:rPr>
                <w:sz w:val="20"/>
              </w:rPr>
              <w:t xml:space="preserve">Чернянский район</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21</w:t>
            </w:r>
          </w:p>
        </w:tc>
        <w:tc>
          <w:tcPr>
            <w:tcW w:w="2211" w:type="dxa"/>
            <w:vAlign w:val="center"/>
          </w:tcPr>
          <w:p>
            <w:pPr>
              <w:pStyle w:val="0"/>
            </w:pPr>
            <w:r>
              <w:rPr>
                <w:sz w:val="20"/>
              </w:rPr>
              <w:t xml:space="preserve">Шебекинский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t xml:space="preserve">22</w:t>
            </w:r>
          </w:p>
        </w:tc>
        <w:tc>
          <w:tcPr>
            <w:tcW w:w="2211" w:type="dxa"/>
            <w:vAlign w:val="center"/>
          </w:tcPr>
          <w:p>
            <w:pPr>
              <w:pStyle w:val="0"/>
            </w:pPr>
            <w:r>
              <w:rPr>
                <w:sz w:val="20"/>
              </w:rPr>
              <w:t xml:space="preserve">Яковлевский городской округ</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tcW w:w="907" w:type="dxa"/>
            <w:vAlign w:val="center"/>
          </w:tcPr>
          <w:p>
            <w:pPr>
              <w:pStyle w:val="0"/>
              <w:jc w:val="center"/>
            </w:pPr>
            <w:r>
              <w:rPr>
                <w:sz w:val="20"/>
              </w:rPr>
              <w:t xml:space="preserve">0</w:t>
            </w:r>
          </w:p>
        </w:tc>
        <w:tc>
          <w:tcPr>
            <w:vMerge w:val="continue"/>
          </w:tcPr>
          <w:p/>
        </w:tc>
        <w:tc>
          <w:tcPr>
            <w:vMerge w:val="continue"/>
          </w:tcPr>
          <w:p/>
        </w:tc>
        <w:tc>
          <w:tcPr>
            <w:vMerge w:val="continue"/>
          </w:tcPr>
          <w:p/>
        </w:tc>
        <w:tc>
          <w:tcPr>
            <w:vMerge w:val="continue"/>
          </w:tcP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r>
        <w:tc>
          <w:tcPr>
            <w:tcW w:w="364" w:type="dxa"/>
            <w:vAlign w:val="center"/>
          </w:tcPr>
          <w:p>
            <w:pPr>
              <w:pStyle w:val="0"/>
              <w:jc w:val="center"/>
            </w:pPr>
            <w:r>
              <w:rPr>
                <w:sz w:val="20"/>
              </w:rPr>
            </w:r>
          </w:p>
        </w:tc>
        <w:tc>
          <w:tcPr>
            <w:tcW w:w="2211" w:type="dxa"/>
            <w:vAlign w:val="center"/>
          </w:tcPr>
          <w:p>
            <w:pPr>
              <w:pStyle w:val="0"/>
            </w:pPr>
            <w:r>
              <w:rPr>
                <w:sz w:val="20"/>
              </w:rPr>
              <w:t xml:space="preserve">Итого</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c>
          <w:tcPr>
            <w:tcW w:w="907" w:type="dxa"/>
            <w:vAlign w:val="bottom"/>
          </w:tcPr>
          <w:p>
            <w:pPr>
              <w:pStyle w:val="0"/>
              <w:jc w:val="center"/>
            </w:pPr>
            <w:r>
              <w:rPr>
                <w:sz w:val="20"/>
              </w:rPr>
              <w:t xml:space="preserve">433</w:t>
            </w:r>
          </w:p>
        </w:tc>
        <w:tc>
          <w:tcPr>
            <w:tcW w:w="907" w:type="dxa"/>
            <w:vAlign w:val="bottom"/>
          </w:tcPr>
          <w:p>
            <w:pPr>
              <w:pStyle w:val="0"/>
              <w:jc w:val="center"/>
            </w:pPr>
            <w:r>
              <w:rPr>
                <w:sz w:val="20"/>
              </w:rPr>
              <w:t xml:space="preserve">497</w:t>
            </w:r>
          </w:p>
        </w:tc>
        <w:tc>
          <w:tcPr>
            <w:tcW w:w="964" w:type="dxa"/>
            <w:vAlign w:val="center"/>
          </w:tcPr>
          <w:p>
            <w:pPr>
              <w:pStyle w:val="0"/>
              <w:jc w:val="center"/>
            </w:pPr>
            <w:r>
              <w:rPr>
                <w:sz w:val="20"/>
              </w:rPr>
              <w:t xml:space="preserve">547</w:t>
            </w:r>
          </w:p>
        </w:tc>
        <w:tc>
          <w:tcPr>
            <w:tcW w:w="850" w:type="dxa"/>
            <w:vAlign w:val="center"/>
          </w:tcPr>
          <w:p>
            <w:pPr>
              <w:pStyle w:val="0"/>
              <w:jc w:val="center"/>
            </w:pPr>
            <w:r>
              <w:rPr>
                <w:sz w:val="20"/>
              </w:rPr>
              <w:t xml:space="preserve">547</w:t>
            </w:r>
          </w:p>
        </w:tc>
        <w:tc>
          <w:tcPr>
            <w:tcW w:w="907" w:type="dxa"/>
            <w:vAlign w:val="bottom"/>
          </w:tcPr>
          <w:p>
            <w:pPr>
              <w:pStyle w:val="0"/>
              <w:jc w:val="center"/>
            </w:pPr>
            <w:r>
              <w:rPr>
                <w:sz w:val="20"/>
              </w:rPr>
              <w:t xml:space="preserve">7521</w:t>
            </w:r>
          </w:p>
        </w:tc>
        <w:tc>
          <w:tcPr>
            <w:tcW w:w="964" w:type="dxa"/>
            <w:vAlign w:val="bottom"/>
          </w:tcPr>
          <w:p>
            <w:pPr>
              <w:pStyle w:val="0"/>
              <w:jc w:val="center"/>
            </w:pPr>
            <w:r>
              <w:rPr>
                <w:sz w:val="20"/>
              </w:rPr>
              <w:t xml:space="preserve">7521</w:t>
            </w:r>
          </w:p>
        </w:tc>
        <w:tc>
          <w:tcPr>
            <w:tcW w:w="907"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964" w:type="dxa"/>
            <w:vAlign w:val="center"/>
          </w:tcPr>
          <w:p>
            <w:pPr>
              <w:pStyle w:val="0"/>
              <w:jc w:val="center"/>
            </w:pPr>
            <w:r>
              <w:rPr>
                <w:sz w:val="20"/>
              </w:rPr>
              <w:t xml:space="preserve">0</w:t>
            </w:r>
          </w:p>
        </w:tc>
        <w:tc>
          <w:tcPr>
            <w:tcW w:w="850" w:type="dxa"/>
            <w:vAlign w:val="center"/>
          </w:tcPr>
          <w:p>
            <w:pPr>
              <w:pStyle w:val="0"/>
              <w:jc w:val="center"/>
            </w:pPr>
            <w:r>
              <w:rPr>
                <w:sz w:val="20"/>
              </w:rPr>
              <w:t xml:space="preserve">0</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pPr>
      <w:r>
        <w:rPr>
          <w:sz w:val="20"/>
        </w:rPr>
      </w:r>
    </w:p>
    <w:p>
      <w:pPr>
        <w:pStyle w:val="0"/>
        <w:outlineLvl w:val="1"/>
        <w:jc w:val="right"/>
      </w:pPr>
      <w:r>
        <w:rPr>
          <w:sz w:val="20"/>
        </w:rPr>
        <w:t xml:space="preserve">Приложение N 13</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pPr>
      <w:r>
        <w:rPr>
          <w:sz w:val="20"/>
        </w:rPr>
      </w:r>
    </w:p>
    <w:bookmarkStart w:id="11220" w:name="P11220"/>
    <w:bookmarkEnd w:id="11220"/>
    <w:p>
      <w:pPr>
        <w:pStyle w:val="2"/>
        <w:jc w:val="center"/>
      </w:pPr>
      <w:r>
        <w:rPr>
          <w:sz w:val="20"/>
        </w:rPr>
        <w:t xml:space="preserve">Детализированная информация о перспективных объектах</w:t>
      </w:r>
    </w:p>
    <w:p>
      <w:pPr>
        <w:pStyle w:val="2"/>
        <w:jc w:val="center"/>
      </w:pPr>
      <w:r>
        <w:rPr>
          <w:sz w:val="20"/>
        </w:rPr>
        <w:t xml:space="preserve">обращения с твердыми коммунальными отходами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13672"/>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(введена </w:t>
            </w:r>
            <w:hyperlink w:history="0" r:id="rId263" w:tooltip="Постановление Правительства Белгородской обл. от 25.10.2021 N 483-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25.10.2021 N 483-пп)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2524"/>
        <w:gridCol w:w="1984"/>
        <w:gridCol w:w="1757"/>
        <w:gridCol w:w="1474"/>
        <w:gridCol w:w="1189"/>
        <w:gridCol w:w="2224"/>
        <w:gridCol w:w="904"/>
        <w:gridCol w:w="1024"/>
        <w:gridCol w:w="1024"/>
        <w:gridCol w:w="604"/>
        <w:gridCol w:w="604"/>
        <w:gridCol w:w="1024"/>
      </w:tblGrid>
      <w:tr>
        <w:tc>
          <w:tcPr>
            <w:tcW w:w="1849" w:type="dxa"/>
            <w:vMerge w:val="restart"/>
          </w:tcPr>
          <w:p>
            <w:pPr>
              <w:pStyle w:val="0"/>
              <w:jc w:val="center"/>
            </w:pPr>
            <w:r>
              <w:rPr>
                <w:sz w:val="20"/>
              </w:rPr>
              <w:t xml:space="preserve">Наименование государственной программы, подпрограммы, мероприятия</w:t>
            </w:r>
          </w:p>
        </w:tc>
        <w:tc>
          <w:tcPr>
            <w:tcW w:w="2524" w:type="dxa"/>
            <w:vMerge w:val="restart"/>
          </w:tcPr>
          <w:p>
            <w:pPr>
              <w:pStyle w:val="0"/>
              <w:jc w:val="center"/>
            </w:pPr>
            <w:r>
              <w:rPr>
                <w:sz w:val="20"/>
              </w:rPr>
              <w:t xml:space="preserve">Мероприятие по строительству и (или) реконструкции объекта обращения с ТКО</w:t>
            </w:r>
          </w:p>
        </w:tc>
        <w:tc>
          <w:tcPr>
            <w:tcW w:w="1984" w:type="dxa"/>
            <w:vMerge w:val="restart"/>
          </w:tcPr>
          <w:p>
            <w:pPr>
              <w:pStyle w:val="0"/>
              <w:jc w:val="center"/>
            </w:pPr>
            <w:r>
              <w:rPr>
                <w:sz w:val="20"/>
              </w:rPr>
              <w:t xml:space="preserve">Тип объекта</w:t>
            </w:r>
          </w:p>
        </w:tc>
        <w:tc>
          <w:tcPr>
            <w:tcW w:w="1757" w:type="dxa"/>
            <w:vMerge w:val="restart"/>
          </w:tcPr>
          <w:p>
            <w:pPr>
              <w:pStyle w:val="0"/>
              <w:jc w:val="center"/>
            </w:pPr>
            <w:r>
              <w:rPr>
                <w:sz w:val="20"/>
              </w:rPr>
              <w:t xml:space="preserve">Вид работ по объекту</w:t>
            </w:r>
          </w:p>
        </w:tc>
        <w:tc>
          <w:tcPr>
            <w:tcW w:w="1474" w:type="dxa"/>
            <w:vMerge w:val="restart"/>
          </w:tcPr>
          <w:p>
            <w:pPr>
              <w:pStyle w:val="0"/>
              <w:jc w:val="center"/>
            </w:pPr>
            <w:r>
              <w:rPr>
                <w:sz w:val="20"/>
              </w:rPr>
              <w:t xml:space="preserve">Планируемая (увеличение) мощность (тыс. тонн)</w:t>
            </w:r>
          </w:p>
        </w:tc>
        <w:tc>
          <w:tcPr>
            <w:tcW w:w="1189" w:type="dxa"/>
            <w:vMerge w:val="restart"/>
          </w:tcPr>
          <w:p>
            <w:pPr>
              <w:pStyle w:val="0"/>
              <w:jc w:val="center"/>
            </w:pPr>
            <w:r>
              <w:rPr>
                <w:sz w:val="20"/>
              </w:rPr>
              <w:t xml:space="preserve">Проектная стоимость объектов (тыс. руб.)</w:t>
            </w:r>
          </w:p>
        </w:tc>
        <w:tc>
          <w:tcPr>
            <w:tcW w:w="2224" w:type="dxa"/>
            <w:vMerge w:val="restart"/>
          </w:tcPr>
          <w:p>
            <w:pPr>
              <w:pStyle w:val="0"/>
              <w:jc w:val="center"/>
            </w:pPr>
            <w:r>
              <w:rPr>
                <w:sz w:val="20"/>
              </w:rPr>
              <w:t xml:space="preserve">Источники финансирования</w:t>
            </w:r>
          </w:p>
        </w:tc>
        <w:tc>
          <w:tcPr>
            <w:gridSpan w:val="5"/>
            <w:tcW w:w="4160" w:type="dxa"/>
          </w:tcPr>
          <w:p>
            <w:pPr>
              <w:pStyle w:val="0"/>
              <w:jc w:val="center"/>
            </w:pPr>
            <w:r>
              <w:rPr>
                <w:sz w:val="20"/>
              </w:rPr>
              <w:t xml:space="preserve">Расходы (тыс. рублей), годы</w:t>
            </w:r>
          </w:p>
        </w:tc>
        <w:tc>
          <w:tcPr>
            <w:tcW w:w="1024" w:type="dxa"/>
            <w:vMerge w:val="restart"/>
          </w:tcPr>
          <w:p>
            <w:pPr>
              <w:pStyle w:val="0"/>
              <w:jc w:val="center"/>
            </w:pPr>
            <w:r>
              <w:rPr>
                <w:sz w:val="20"/>
              </w:rPr>
              <w:t xml:space="preserve">Итого 2021 - 2025 годы</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04" w:type="dxa"/>
          </w:tcPr>
          <w:p>
            <w:pPr>
              <w:pStyle w:val="0"/>
              <w:jc w:val="center"/>
            </w:pPr>
            <w:r>
              <w:rPr>
                <w:sz w:val="20"/>
              </w:rPr>
              <w:t xml:space="preserve">2021</w:t>
            </w:r>
          </w:p>
        </w:tc>
        <w:tc>
          <w:tcPr>
            <w:tcW w:w="1024" w:type="dxa"/>
          </w:tcPr>
          <w:p>
            <w:pPr>
              <w:pStyle w:val="0"/>
              <w:jc w:val="center"/>
            </w:pPr>
            <w:r>
              <w:rPr>
                <w:sz w:val="20"/>
              </w:rPr>
              <w:t xml:space="preserve">2022</w:t>
            </w:r>
          </w:p>
        </w:tc>
        <w:tc>
          <w:tcPr>
            <w:tcW w:w="1024" w:type="dxa"/>
          </w:tcPr>
          <w:p>
            <w:pPr>
              <w:pStyle w:val="0"/>
              <w:jc w:val="center"/>
            </w:pPr>
            <w:r>
              <w:rPr>
                <w:sz w:val="20"/>
              </w:rPr>
              <w:t xml:space="preserve">2023</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c>
          <w:tcPr>
            <w:vMerge w:val="continue"/>
          </w:tcPr>
          <w:p/>
        </w:tc>
      </w:tr>
      <w:tr>
        <w:tc>
          <w:tcPr>
            <w:tcW w:w="1849" w:type="dxa"/>
          </w:tcPr>
          <w:p>
            <w:pPr>
              <w:pStyle w:val="0"/>
              <w:jc w:val="center"/>
            </w:pPr>
            <w:r>
              <w:rPr>
                <w:sz w:val="20"/>
              </w:rPr>
              <w:t xml:space="preserve">1</w:t>
            </w:r>
          </w:p>
        </w:tc>
        <w:tc>
          <w:tcPr>
            <w:tcW w:w="2524" w:type="dxa"/>
          </w:tcPr>
          <w:p>
            <w:pPr>
              <w:pStyle w:val="0"/>
              <w:jc w:val="center"/>
            </w:pPr>
            <w:r>
              <w:rPr>
                <w:sz w:val="20"/>
              </w:rPr>
              <w:t xml:space="preserve">2</w:t>
            </w:r>
          </w:p>
        </w:tc>
        <w:tc>
          <w:tcPr>
            <w:tcW w:w="1984" w:type="dxa"/>
          </w:tcPr>
          <w:p>
            <w:pPr>
              <w:pStyle w:val="0"/>
              <w:jc w:val="center"/>
            </w:pPr>
            <w:r>
              <w:rPr>
                <w:sz w:val="20"/>
              </w:rPr>
              <w:t xml:space="preserve">3</w:t>
            </w:r>
          </w:p>
        </w:tc>
        <w:tc>
          <w:tcPr>
            <w:tcW w:w="1757" w:type="dxa"/>
          </w:tcPr>
          <w:p>
            <w:pPr>
              <w:pStyle w:val="0"/>
              <w:jc w:val="center"/>
            </w:pPr>
            <w:r>
              <w:rPr>
                <w:sz w:val="20"/>
              </w:rPr>
              <w:t xml:space="preserve">4</w:t>
            </w:r>
          </w:p>
        </w:tc>
        <w:tc>
          <w:tcPr>
            <w:tcW w:w="1474" w:type="dxa"/>
          </w:tcPr>
          <w:p>
            <w:pPr>
              <w:pStyle w:val="0"/>
              <w:jc w:val="center"/>
            </w:pPr>
            <w:r>
              <w:rPr>
                <w:sz w:val="20"/>
              </w:rPr>
              <w:t xml:space="preserve">5</w:t>
            </w:r>
          </w:p>
        </w:tc>
        <w:tc>
          <w:tcPr>
            <w:tcW w:w="1189" w:type="dxa"/>
          </w:tcPr>
          <w:p>
            <w:pPr>
              <w:pStyle w:val="0"/>
              <w:jc w:val="center"/>
            </w:pPr>
            <w:r>
              <w:rPr>
                <w:sz w:val="20"/>
              </w:rPr>
              <w:t xml:space="preserve">6</w:t>
            </w:r>
          </w:p>
        </w:tc>
        <w:tc>
          <w:tcPr>
            <w:tcW w:w="2224" w:type="dxa"/>
          </w:tcPr>
          <w:p>
            <w:pPr>
              <w:pStyle w:val="0"/>
              <w:jc w:val="center"/>
            </w:pPr>
            <w:r>
              <w:rPr>
                <w:sz w:val="20"/>
              </w:rPr>
              <w:t xml:space="preserve">7</w:t>
            </w:r>
          </w:p>
        </w:tc>
        <w:tc>
          <w:tcPr>
            <w:tcW w:w="904" w:type="dxa"/>
          </w:tcPr>
          <w:p>
            <w:pPr>
              <w:pStyle w:val="0"/>
              <w:jc w:val="center"/>
            </w:pPr>
            <w:r>
              <w:rPr>
                <w:sz w:val="20"/>
              </w:rPr>
              <w:t xml:space="preserve">8</w:t>
            </w:r>
          </w:p>
        </w:tc>
        <w:tc>
          <w:tcPr>
            <w:tcW w:w="1024" w:type="dxa"/>
          </w:tcPr>
          <w:p>
            <w:pPr>
              <w:pStyle w:val="0"/>
              <w:jc w:val="center"/>
            </w:pPr>
            <w:r>
              <w:rPr>
                <w:sz w:val="20"/>
              </w:rPr>
              <w:t xml:space="preserve">9</w:t>
            </w:r>
          </w:p>
        </w:tc>
        <w:tc>
          <w:tcPr>
            <w:tcW w:w="1024" w:type="dxa"/>
          </w:tcPr>
          <w:p>
            <w:pPr>
              <w:pStyle w:val="0"/>
              <w:jc w:val="center"/>
            </w:pPr>
            <w:r>
              <w:rPr>
                <w:sz w:val="20"/>
              </w:rPr>
              <w:t xml:space="preserve">10</w:t>
            </w:r>
          </w:p>
        </w:tc>
        <w:tc>
          <w:tcPr>
            <w:tcW w:w="604" w:type="dxa"/>
          </w:tcPr>
          <w:p>
            <w:pPr>
              <w:pStyle w:val="0"/>
              <w:jc w:val="center"/>
            </w:pPr>
            <w:r>
              <w:rPr>
                <w:sz w:val="20"/>
              </w:rPr>
              <w:t xml:space="preserve">11</w:t>
            </w:r>
          </w:p>
        </w:tc>
        <w:tc>
          <w:tcPr>
            <w:tcW w:w="604" w:type="dxa"/>
          </w:tcPr>
          <w:p>
            <w:pPr>
              <w:pStyle w:val="0"/>
              <w:jc w:val="center"/>
            </w:pPr>
            <w:r>
              <w:rPr>
                <w:sz w:val="20"/>
              </w:rPr>
              <w:t xml:space="preserve">12</w:t>
            </w:r>
          </w:p>
        </w:tc>
        <w:tc>
          <w:tcPr>
            <w:tcW w:w="1024" w:type="dxa"/>
          </w:tcPr>
          <w:p>
            <w:pPr>
              <w:pStyle w:val="0"/>
              <w:jc w:val="center"/>
            </w:pPr>
            <w:r>
              <w:rPr>
                <w:sz w:val="20"/>
              </w:rPr>
              <w:t xml:space="preserve">13</w:t>
            </w:r>
          </w:p>
        </w:tc>
      </w:tr>
      <w:tr>
        <w:tc>
          <w:tcPr>
            <w:tcW w:w="1849" w:type="dxa"/>
            <w:vAlign w:val="center"/>
            <w:vMerge w:val="restart"/>
          </w:tcPr>
          <w:p>
            <w:pPr>
              <w:pStyle w:val="0"/>
              <w:jc w:val="center"/>
            </w:pPr>
            <w:r>
              <w:rPr>
                <w:sz w:val="20"/>
              </w:rPr>
              <w:t xml:space="preserve">Подпрограмма 7</w:t>
            </w:r>
          </w:p>
        </w:tc>
        <w:tc>
          <w:tcPr>
            <w:tcW w:w="2524" w:type="dxa"/>
            <w:vAlign w:val="center"/>
            <w:vMerge w:val="restart"/>
          </w:tcPr>
          <w:p>
            <w:pPr>
              <w:pStyle w:val="0"/>
              <w:jc w:val="center"/>
            </w:pPr>
            <w:r>
              <w:rPr>
                <w:sz w:val="20"/>
              </w:rPr>
              <w:t xml:space="preserve">Обращение с твердыми коммунальными отходами на территории Белгородской области</w:t>
            </w:r>
          </w:p>
        </w:tc>
        <w:tc>
          <w:tcPr>
            <w:tcW w:w="1984" w:type="dxa"/>
            <w:vAlign w:val="center"/>
            <w:vMerge w:val="restart"/>
          </w:tcPr>
          <w:p>
            <w:pPr>
              <w:pStyle w:val="0"/>
              <w:jc w:val="center"/>
            </w:pPr>
            <w:r>
              <w:rPr>
                <w:sz w:val="20"/>
              </w:rPr>
              <w:t xml:space="preserve">Размещение/Обработка/Утилизация</w:t>
            </w:r>
          </w:p>
        </w:tc>
        <w:tc>
          <w:tcPr>
            <w:tcW w:w="1757" w:type="dxa"/>
            <w:vAlign w:val="center"/>
            <w:vMerge w:val="restart"/>
          </w:tcPr>
          <w:p>
            <w:pPr>
              <w:pStyle w:val="0"/>
              <w:jc w:val="center"/>
            </w:pPr>
            <w:r>
              <w:rPr>
                <w:sz w:val="20"/>
              </w:rPr>
              <w:t xml:space="preserve">Строительство/Модернизация</w:t>
            </w:r>
          </w:p>
        </w:tc>
        <w:tc>
          <w:tcPr>
            <w:tcW w:w="1474" w:type="dxa"/>
            <w:vAlign w:val="center"/>
            <w:vMerge w:val="restart"/>
          </w:tcPr>
          <w:p>
            <w:pPr>
              <w:pStyle w:val="0"/>
              <w:jc w:val="center"/>
            </w:pPr>
            <w:r>
              <w:rPr>
                <w:sz w:val="20"/>
              </w:rPr>
              <w:t xml:space="preserve">-</w:t>
            </w:r>
          </w:p>
        </w:tc>
        <w:tc>
          <w:tcPr>
            <w:tcW w:w="1189" w:type="dxa"/>
            <w:vAlign w:val="center"/>
            <w:vMerge w:val="restart"/>
          </w:tcPr>
          <w:p>
            <w:pPr>
              <w:pStyle w:val="0"/>
              <w:jc w:val="center"/>
            </w:pPr>
            <w:r>
              <w:rPr>
                <w:sz w:val="20"/>
              </w:rPr>
              <w:t xml:space="preserve">1276985,3</w:t>
            </w:r>
          </w:p>
        </w:tc>
        <w:tc>
          <w:tcPr>
            <w:tcW w:w="2224" w:type="dxa"/>
            <w:vAlign w:val="center"/>
          </w:tcPr>
          <w:p>
            <w:pPr>
              <w:pStyle w:val="0"/>
            </w:pPr>
            <w:r>
              <w:rPr>
                <w:sz w:val="20"/>
              </w:rPr>
              <w:t xml:space="preserve">Всего</w:t>
            </w:r>
          </w:p>
        </w:tc>
        <w:tc>
          <w:tcPr>
            <w:tcW w:w="904" w:type="dxa"/>
            <w:vAlign w:val="center"/>
          </w:tcPr>
          <w:p>
            <w:pPr>
              <w:pStyle w:val="0"/>
              <w:jc w:val="center"/>
            </w:pPr>
            <w:r>
              <w:rPr>
                <w:sz w:val="20"/>
              </w:rPr>
              <w:t xml:space="preserve">87923,0</w:t>
            </w:r>
          </w:p>
        </w:tc>
        <w:tc>
          <w:tcPr>
            <w:tcW w:w="1024" w:type="dxa"/>
            <w:vAlign w:val="center"/>
          </w:tcPr>
          <w:p>
            <w:pPr>
              <w:pStyle w:val="0"/>
              <w:jc w:val="center"/>
            </w:pPr>
            <w:r>
              <w:rPr>
                <w:sz w:val="20"/>
              </w:rPr>
              <w:t xml:space="preserve">546630,0</w:t>
            </w:r>
          </w:p>
        </w:tc>
        <w:tc>
          <w:tcPr>
            <w:tcW w:w="1024" w:type="dxa"/>
            <w:vAlign w:val="center"/>
          </w:tcPr>
          <w:p>
            <w:pPr>
              <w:pStyle w:val="0"/>
              <w:jc w:val="center"/>
            </w:pPr>
            <w:r>
              <w:rPr>
                <w:sz w:val="20"/>
              </w:rPr>
              <w:t xml:space="preserve">197067,0</w:t>
            </w:r>
          </w:p>
        </w:tc>
        <w:tc>
          <w:tcPr>
            <w:tcW w:w="60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1024" w:type="dxa"/>
            <w:vAlign w:val="center"/>
          </w:tcPr>
          <w:p>
            <w:pPr>
              <w:pStyle w:val="0"/>
              <w:jc w:val="center"/>
            </w:pPr>
            <w:r>
              <w:rPr>
                <w:sz w:val="20"/>
              </w:rPr>
              <w:t xml:space="preserve">831620,0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областной бюджет</w:t>
            </w:r>
          </w:p>
        </w:tc>
        <w:tc>
          <w:tcPr>
            <w:tcW w:w="904" w:type="dxa"/>
            <w:vAlign w:val="center"/>
          </w:tcPr>
          <w:p>
            <w:pPr>
              <w:pStyle w:val="0"/>
              <w:jc w:val="center"/>
            </w:pPr>
            <w:r>
              <w:rPr>
                <w:sz w:val="20"/>
              </w:rPr>
              <w:t xml:space="preserve">3125,8</w:t>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1024" w:type="dxa"/>
            <w:vAlign w:val="center"/>
          </w:tcPr>
          <w:p>
            <w:pPr>
              <w:pStyle w:val="0"/>
              <w:jc w:val="center"/>
            </w:pPr>
            <w:r>
              <w:rPr>
                <w:sz w:val="20"/>
              </w:rPr>
              <w:t xml:space="preserve">3125,8</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t xml:space="preserve">199,5</w:t>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1024" w:type="dxa"/>
            <w:vAlign w:val="center"/>
          </w:tcPr>
          <w:p>
            <w:pPr>
              <w:pStyle w:val="0"/>
              <w:jc w:val="center"/>
            </w:pPr>
            <w:r>
              <w:rPr>
                <w:sz w:val="20"/>
              </w:rPr>
              <w:t xml:space="preserve">199,5</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иные источники</w:t>
            </w:r>
          </w:p>
        </w:tc>
        <w:tc>
          <w:tcPr>
            <w:tcW w:w="904" w:type="dxa"/>
            <w:vAlign w:val="center"/>
          </w:tcPr>
          <w:p>
            <w:pPr>
              <w:pStyle w:val="0"/>
              <w:jc w:val="center"/>
            </w:pPr>
            <w:r>
              <w:rPr>
                <w:sz w:val="20"/>
              </w:rPr>
              <w:t xml:space="preserve">84597,7</w:t>
            </w:r>
          </w:p>
        </w:tc>
        <w:tc>
          <w:tcPr>
            <w:tcW w:w="1024" w:type="dxa"/>
            <w:vAlign w:val="center"/>
          </w:tcPr>
          <w:p>
            <w:pPr>
              <w:pStyle w:val="0"/>
              <w:jc w:val="center"/>
            </w:pPr>
            <w:r>
              <w:rPr>
                <w:sz w:val="20"/>
              </w:rPr>
              <w:t xml:space="preserve">546630,0</w:t>
            </w:r>
          </w:p>
        </w:tc>
        <w:tc>
          <w:tcPr>
            <w:tcW w:w="1024" w:type="dxa"/>
            <w:vAlign w:val="center"/>
          </w:tcPr>
          <w:p>
            <w:pPr>
              <w:pStyle w:val="0"/>
              <w:jc w:val="center"/>
            </w:pPr>
            <w:r>
              <w:rPr>
                <w:sz w:val="20"/>
              </w:rPr>
              <w:t xml:space="preserve">197067,0</w:t>
            </w:r>
          </w:p>
        </w:tc>
        <w:tc>
          <w:tcPr>
            <w:tcW w:w="604" w:type="dxa"/>
            <w:vAlign w:val="center"/>
          </w:tcPr>
          <w:p>
            <w:pPr>
              <w:pStyle w:val="0"/>
              <w:jc w:val="center"/>
            </w:pPr>
            <w:r>
              <w:rPr>
                <w:sz w:val="20"/>
              </w:rPr>
              <w:t xml:space="preserve">0,0</w:t>
            </w:r>
          </w:p>
        </w:tc>
        <w:tc>
          <w:tcPr>
            <w:tcW w:w="604" w:type="dxa"/>
            <w:vAlign w:val="center"/>
          </w:tcPr>
          <w:p>
            <w:pPr>
              <w:pStyle w:val="0"/>
              <w:jc w:val="center"/>
            </w:pPr>
            <w:r>
              <w:rPr>
                <w:sz w:val="20"/>
              </w:rPr>
              <w:t xml:space="preserve">0,0</w:t>
            </w:r>
          </w:p>
        </w:tc>
        <w:tc>
          <w:tcPr>
            <w:tcW w:w="1024" w:type="dxa"/>
            <w:vAlign w:val="center"/>
          </w:tcPr>
          <w:p>
            <w:pPr>
              <w:pStyle w:val="0"/>
              <w:jc w:val="center"/>
            </w:pPr>
            <w:r>
              <w:rPr>
                <w:sz w:val="20"/>
              </w:rPr>
              <w:t xml:space="preserve">828294,7</w:t>
            </w:r>
          </w:p>
        </w:tc>
      </w:tr>
      <w:tr>
        <w:tc>
          <w:tcPr>
            <w:gridSpan w:val="13"/>
            <w:tcW w:w="18185" w:type="dxa"/>
            <w:vAlign w:val="center"/>
          </w:tcPr>
          <w:p>
            <w:pPr>
              <w:pStyle w:val="0"/>
              <w:outlineLvl w:val="2"/>
              <w:jc w:val="center"/>
            </w:pPr>
            <w:r>
              <w:rPr>
                <w:sz w:val="20"/>
              </w:rPr>
              <w:t xml:space="preserve">Основное мероприятие 7.1 "Создание эффективных механизмов управления в отрасли обращения с твердыми коммунальными отходами"</w:t>
            </w:r>
          </w:p>
        </w:tc>
      </w:tr>
      <w:tr>
        <w:tc>
          <w:tcPr>
            <w:tcW w:w="1849" w:type="dxa"/>
            <w:vAlign w:val="center"/>
            <w:vMerge w:val="restart"/>
          </w:tcPr>
          <w:p>
            <w:pPr>
              <w:pStyle w:val="0"/>
              <w:jc w:val="center"/>
            </w:pPr>
            <w:r>
              <w:rPr>
                <w:sz w:val="20"/>
              </w:rPr>
              <w:t xml:space="preserve">Мероприятие 7.1.1 "Строительство объекта размещения твердых коммунальных отходов"</w:t>
            </w:r>
          </w:p>
        </w:tc>
        <w:tc>
          <w:tcPr>
            <w:tcW w:w="2524" w:type="dxa"/>
            <w:vAlign w:val="center"/>
            <w:vMerge w:val="restart"/>
          </w:tcPr>
          <w:p>
            <w:pPr>
              <w:pStyle w:val="0"/>
              <w:jc w:val="center"/>
            </w:pPr>
            <w:r>
              <w:rPr>
                <w:sz w:val="20"/>
              </w:rPr>
              <w:t xml:space="preserve">Разработка проектно-сметной документации на строительство объекта размещения отходов (полигона) в Валуйском городском округе в 2021 году</w:t>
            </w:r>
          </w:p>
        </w:tc>
        <w:tc>
          <w:tcPr>
            <w:tcW w:w="1984" w:type="dxa"/>
            <w:vAlign w:val="center"/>
            <w:vMerge w:val="restart"/>
          </w:tcPr>
          <w:p>
            <w:pPr>
              <w:pStyle w:val="0"/>
              <w:jc w:val="center"/>
            </w:pPr>
            <w:r>
              <w:rPr>
                <w:sz w:val="20"/>
              </w:rPr>
              <w:t xml:space="preserve">Размещение</w:t>
            </w:r>
          </w:p>
        </w:tc>
        <w:tc>
          <w:tcPr>
            <w:tcW w:w="1757" w:type="dxa"/>
            <w:vAlign w:val="center"/>
            <w:vMerge w:val="restart"/>
          </w:tcPr>
          <w:p>
            <w:pPr>
              <w:pStyle w:val="0"/>
              <w:jc w:val="center"/>
            </w:pPr>
            <w:r>
              <w:rPr>
                <w:sz w:val="20"/>
              </w:rPr>
              <w:t xml:space="preserve">Подготовка документации</w:t>
            </w:r>
          </w:p>
        </w:tc>
        <w:tc>
          <w:tcPr>
            <w:tcW w:w="1474" w:type="dxa"/>
            <w:vAlign w:val="center"/>
            <w:vMerge w:val="restart"/>
          </w:tcPr>
          <w:p>
            <w:pPr>
              <w:pStyle w:val="0"/>
              <w:jc w:val="center"/>
            </w:pPr>
            <w:r>
              <w:rPr>
                <w:sz w:val="20"/>
              </w:rPr>
              <w:t xml:space="preserve">-</w:t>
            </w:r>
          </w:p>
        </w:tc>
        <w:tc>
          <w:tcPr>
            <w:tcW w:w="1189" w:type="dxa"/>
            <w:vAlign w:val="center"/>
            <w:vMerge w:val="restart"/>
          </w:tcPr>
          <w:p>
            <w:pPr>
              <w:pStyle w:val="0"/>
              <w:jc w:val="center"/>
            </w:pPr>
            <w:r>
              <w:rPr>
                <w:sz w:val="20"/>
              </w:rPr>
              <w:t xml:space="preserve">3125,8</w:t>
            </w:r>
          </w:p>
        </w:tc>
        <w:tc>
          <w:tcPr>
            <w:tcW w:w="2224" w:type="dxa"/>
            <w:vAlign w:val="center"/>
          </w:tcPr>
          <w:p>
            <w:pPr>
              <w:pStyle w:val="0"/>
            </w:pPr>
            <w:r>
              <w:rPr>
                <w:sz w:val="20"/>
              </w:rPr>
              <w:t xml:space="preserve">Всего</w:t>
            </w:r>
          </w:p>
        </w:tc>
        <w:tc>
          <w:tcPr>
            <w:tcW w:w="904" w:type="dxa"/>
            <w:vAlign w:val="center"/>
          </w:tcPr>
          <w:p>
            <w:pPr>
              <w:pStyle w:val="0"/>
              <w:jc w:val="center"/>
            </w:pPr>
            <w:r>
              <w:rPr>
                <w:sz w:val="20"/>
              </w:rPr>
              <w:t xml:space="preserve">3325,3</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3325,3</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областной бюджет</w:t>
            </w:r>
          </w:p>
        </w:tc>
        <w:tc>
          <w:tcPr>
            <w:tcW w:w="904" w:type="dxa"/>
            <w:vAlign w:val="center"/>
          </w:tcPr>
          <w:p>
            <w:pPr>
              <w:pStyle w:val="0"/>
              <w:jc w:val="center"/>
            </w:pPr>
            <w:r>
              <w:rPr>
                <w:sz w:val="20"/>
              </w:rPr>
              <w:t xml:space="preserve">3125,8</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3125,8</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t xml:space="preserve">199,5</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199,5</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иные источники</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tcW w:w="1849" w:type="dxa"/>
            <w:vAlign w:val="center"/>
            <w:vMerge w:val="restart"/>
          </w:tcPr>
          <w:p>
            <w:pPr>
              <w:pStyle w:val="0"/>
              <w:jc w:val="center"/>
            </w:pPr>
            <w:r>
              <w:rPr>
                <w:sz w:val="20"/>
              </w:rPr>
              <w:t xml:space="preserve">Мероприятие 7.1.1 "Строительство объекта размещения твердых коммунальных отходов"</w:t>
            </w:r>
          </w:p>
        </w:tc>
        <w:tc>
          <w:tcPr>
            <w:tcW w:w="2524" w:type="dxa"/>
            <w:vAlign w:val="center"/>
            <w:vMerge w:val="restart"/>
          </w:tcPr>
          <w:p>
            <w:pPr>
              <w:pStyle w:val="0"/>
              <w:jc w:val="center"/>
            </w:pPr>
            <w:r>
              <w:rPr>
                <w:sz w:val="20"/>
              </w:rPr>
              <w:t xml:space="preserve">Строительство объекта размещения отходов (полигона) в Яковлевском городском округе в 2022 году</w:t>
            </w:r>
          </w:p>
        </w:tc>
        <w:tc>
          <w:tcPr>
            <w:tcW w:w="1984" w:type="dxa"/>
            <w:vAlign w:val="center"/>
            <w:vMerge w:val="restart"/>
          </w:tcPr>
          <w:p>
            <w:pPr>
              <w:pStyle w:val="0"/>
              <w:jc w:val="center"/>
            </w:pPr>
            <w:r>
              <w:rPr>
                <w:sz w:val="20"/>
              </w:rPr>
              <w:t xml:space="preserve">Размещение</w:t>
            </w:r>
          </w:p>
        </w:tc>
        <w:tc>
          <w:tcPr>
            <w:tcW w:w="1757" w:type="dxa"/>
            <w:vAlign w:val="center"/>
            <w:vMerge w:val="restart"/>
          </w:tcPr>
          <w:p>
            <w:pPr>
              <w:pStyle w:val="0"/>
              <w:jc w:val="center"/>
            </w:pPr>
            <w:r>
              <w:rPr>
                <w:sz w:val="20"/>
              </w:rPr>
              <w:t xml:space="preserve">Строительство</w:t>
            </w:r>
          </w:p>
        </w:tc>
        <w:tc>
          <w:tcPr>
            <w:tcW w:w="1474" w:type="dxa"/>
            <w:vAlign w:val="center"/>
            <w:vMerge w:val="restart"/>
          </w:tcPr>
          <w:p>
            <w:pPr>
              <w:pStyle w:val="0"/>
              <w:jc w:val="center"/>
            </w:pPr>
            <w:r>
              <w:rPr>
                <w:sz w:val="20"/>
              </w:rPr>
              <w:t xml:space="preserve">До 509</w:t>
            </w:r>
          </w:p>
        </w:tc>
        <w:tc>
          <w:tcPr>
            <w:tcW w:w="1189" w:type="dxa"/>
            <w:vAlign w:val="center"/>
            <w:vMerge w:val="restart"/>
          </w:tcPr>
          <w:p>
            <w:pPr>
              <w:pStyle w:val="0"/>
              <w:jc w:val="center"/>
            </w:pPr>
            <w:r>
              <w:rPr>
                <w:sz w:val="20"/>
              </w:rPr>
              <w:t xml:space="preserve">161000,0</w:t>
            </w:r>
          </w:p>
        </w:tc>
        <w:tc>
          <w:tcPr>
            <w:tcW w:w="2224" w:type="dxa"/>
            <w:vAlign w:val="center"/>
          </w:tcPr>
          <w:p>
            <w:pPr>
              <w:pStyle w:val="0"/>
            </w:pPr>
            <w:r>
              <w:rPr>
                <w:sz w:val="20"/>
              </w:rPr>
              <w:t xml:space="preserve">Всего</w:t>
            </w:r>
          </w:p>
        </w:tc>
        <w:tc>
          <w:tcPr>
            <w:tcW w:w="904" w:type="dxa"/>
            <w:vAlign w:val="center"/>
          </w:tcPr>
          <w:p>
            <w:pPr>
              <w:pStyle w:val="0"/>
              <w:jc w:val="center"/>
            </w:pPr>
            <w:r>
              <w:rPr>
                <w:sz w:val="20"/>
              </w:rPr>
              <w:t xml:space="preserve">63600,0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63600,0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федеральный бюджет</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областной бюджет</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vAlign w:val="center"/>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t xml:space="preserve">63600,0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63600,0</w:t>
            </w:r>
          </w:p>
        </w:tc>
      </w:tr>
      <w:tr>
        <w:tc>
          <w:tcPr>
            <w:tcW w:w="1849" w:type="dxa"/>
            <w:vAlign w:val="center"/>
            <w:vMerge w:val="restart"/>
          </w:tcPr>
          <w:p>
            <w:pPr>
              <w:pStyle w:val="0"/>
              <w:jc w:val="center"/>
            </w:pPr>
            <w:r>
              <w:rPr>
                <w:sz w:val="20"/>
              </w:rPr>
              <w:t xml:space="preserve">Мероприятие 7.1.1 "Строительство объекта размещения твердых коммунальных отходов"</w:t>
            </w:r>
          </w:p>
        </w:tc>
        <w:tc>
          <w:tcPr>
            <w:tcW w:w="2524" w:type="dxa"/>
            <w:vAlign w:val="center"/>
            <w:vMerge w:val="restart"/>
          </w:tcPr>
          <w:p>
            <w:pPr>
              <w:pStyle w:val="0"/>
              <w:jc w:val="center"/>
            </w:pPr>
            <w:r>
              <w:rPr>
                <w:sz w:val="20"/>
              </w:rPr>
              <w:t xml:space="preserve">Строительство объекта размещения отходов (полигона) в Валуйском городском округе в 2022 году</w:t>
            </w:r>
          </w:p>
        </w:tc>
        <w:tc>
          <w:tcPr>
            <w:tcW w:w="1984" w:type="dxa"/>
            <w:vAlign w:val="center"/>
            <w:vMerge w:val="restart"/>
          </w:tcPr>
          <w:p>
            <w:pPr>
              <w:pStyle w:val="0"/>
              <w:jc w:val="center"/>
            </w:pPr>
            <w:r>
              <w:rPr>
                <w:sz w:val="20"/>
              </w:rPr>
              <w:t xml:space="preserve">Размещение</w:t>
            </w:r>
          </w:p>
        </w:tc>
        <w:tc>
          <w:tcPr>
            <w:tcW w:w="1757" w:type="dxa"/>
            <w:vAlign w:val="center"/>
            <w:vMerge w:val="restart"/>
          </w:tcPr>
          <w:p>
            <w:pPr>
              <w:pStyle w:val="0"/>
              <w:jc w:val="center"/>
            </w:pPr>
            <w:r>
              <w:rPr>
                <w:sz w:val="20"/>
              </w:rPr>
              <w:t xml:space="preserve">Строительство</w:t>
            </w:r>
          </w:p>
        </w:tc>
        <w:tc>
          <w:tcPr>
            <w:tcW w:w="1474" w:type="dxa"/>
            <w:vAlign w:val="center"/>
            <w:vMerge w:val="restart"/>
          </w:tcPr>
          <w:p>
            <w:pPr>
              <w:pStyle w:val="0"/>
              <w:jc w:val="center"/>
            </w:pPr>
            <w:r>
              <w:rPr>
                <w:sz w:val="20"/>
              </w:rPr>
              <w:t xml:space="preserve">До 150</w:t>
            </w:r>
          </w:p>
        </w:tc>
        <w:tc>
          <w:tcPr>
            <w:tcW w:w="1189" w:type="dxa"/>
            <w:vAlign w:val="center"/>
            <w:vMerge w:val="restart"/>
          </w:tcPr>
          <w:p>
            <w:pPr>
              <w:pStyle w:val="0"/>
              <w:jc w:val="center"/>
            </w:pPr>
            <w:r>
              <w:rPr>
                <w:sz w:val="20"/>
              </w:rPr>
              <w:t xml:space="preserve">308864,8</w:t>
            </w:r>
          </w:p>
        </w:tc>
        <w:tc>
          <w:tcPr>
            <w:tcW w:w="2224" w:type="dxa"/>
          </w:tcPr>
          <w:p>
            <w:pPr>
              <w:pStyle w:val="0"/>
            </w:pPr>
            <w:r>
              <w:rPr>
                <w:sz w:val="20"/>
              </w:rPr>
              <w:t xml:space="preserve">Всего</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tcW w:w="1849" w:type="dxa"/>
            <w:vAlign w:val="center"/>
            <w:vMerge w:val="restart"/>
          </w:tcPr>
          <w:p>
            <w:pPr>
              <w:pStyle w:val="0"/>
              <w:jc w:val="center"/>
            </w:pPr>
            <w:r>
              <w:rPr>
                <w:sz w:val="20"/>
              </w:rPr>
              <w:t xml:space="preserve">Мероприятие 7.1.3 "Строительство объектов обработки твердых коммунальных отходов"</w:t>
            </w:r>
          </w:p>
        </w:tc>
        <w:tc>
          <w:tcPr>
            <w:tcW w:w="2524" w:type="dxa"/>
            <w:vAlign w:val="center"/>
            <w:vMerge w:val="restart"/>
          </w:tcPr>
          <w:p>
            <w:pPr>
              <w:pStyle w:val="0"/>
              <w:jc w:val="center"/>
            </w:pPr>
            <w:r>
              <w:rPr>
                <w:sz w:val="20"/>
              </w:rPr>
              <w:t xml:space="preserve">Организация обработки ТКО и утилизация пластиков на территории Валуйского городского округа в 2022 - 2023 годы</w:t>
            </w:r>
          </w:p>
        </w:tc>
        <w:tc>
          <w:tcPr>
            <w:tcW w:w="1984" w:type="dxa"/>
            <w:vAlign w:val="center"/>
            <w:vMerge w:val="restart"/>
          </w:tcPr>
          <w:p>
            <w:pPr>
              <w:pStyle w:val="0"/>
              <w:jc w:val="center"/>
            </w:pPr>
            <w:r>
              <w:rPr>
                <w:sz w:val="20"/>
              </w:rPr>
              <w:t xml:space="preserve">Обработка/Утилизация</w:t>
            </w:r>
          </w:p>
        </w:tc>
        <w:tc>
          <w:tcPr>
            <w:tcW w:w="1757" w:type="dxa"/>
            <w:vAlign w:val="center"/>
            <w:vMerge w:val="restart"/>
          </w:tcPr>
          <w:p>
            <w:pPr>
              <w:pStyle w:val="0"/>
              <w:jc w:val="center"/>
            </w:pPr>
            <w:r>
              <w:rPr>
                <w:sz w:val="20"/>
              </w:rPr>
              <w:t xml:space="preserve">Строительство</w:t>
            </w:r>
          </w:p>
        </w:tc>
        <w:tc>
          <w:tcPr>
            <w:tcW w:w="1474" w:type="dxa"/>
            <w:vAlign w:val="center"/>
            <w:vMerge w:val="restart"/>
          </w:tcPr>
          <w:p>
            <w:pPr>
              <w:pStyle w:val="0"/>
              <w:jc w:val="center"/>
            </w:pPr>
            <w:r>
              <w:rPr>
                <w:sz w:val="20"/>
              </w:rPr>
              <w:t xml:space="preserve">До 105</w:t>
            </w:r>
          </w:p>
        </w:tc>
        <w:tc>
          <w:tcPr>
            <w:tcW w:w="1189" w:type="dxa"/>
            <w:vAlign w:val="center"/>
            <w:vMerge w:val="restart"/>
          </w:tcPr>
          <w:p>
            <w:pPr>
              <w:pStyle w:val="0"/>
              <w:jc w:val="center"/>
            </w:pPr>
            <w:r>
              <w:rPr>
                <w:sz w:val="20"/>
              </w:rPr>
              <w:t xml:space="preserve">656897,0</w:t>
            </w:r>
          </w:p>
        </w:tc>
        <w:tc>
          <w:tcPr>
            <w:tcW w:w="2224" w:type="dxa"/>
          </w:tcPr>
          <w:p>
            <w:pPr>
              <w:pStyle w:val="0"/>
            </w:pPr>
            <w:r>
              <w:rPr>
                <w:sz w:val="20"/>
              </w:rPr>
              <w:t xml:space="preserve">Всего</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459830</w:t>
            </w:r>
          </w:p>
        </w:tc>
        <w:tc>
          <w:tcPr>
            <w:tcW w:w="1024" w:type="dxa"/>
            <w:vAlign w:val="center"/>
          </w:tcPr>
          <w:p>
            <w:pPr>
              <w:pStyle w:val="0"/>
              <w:jc w:val="center"/>
            </w:pPr>
            <w:r>
              <w:rPr>
                <w:sz w:val="20"/>
              </w:rPr>
              <w:t xml:space="preserve">197067</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656897,0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459830</w:t>
            </w:r>
          </w:p>
        </w:tc>
        <w:tc>
          <w:tcPr>
            <w:tcW w:w="1024" w:type="dxa"/>
            <w:vAlign w:val="center"/>
          </w:tcPr>
          <w:p>
            <w:pPr>
              <w:pStyle w:val="0"/>
              <w:jc w:val="center"/>
            </w:pPr>
            <w:r>
              <w:rPr>
                <w:sz w:val="20"/>
              </w:rPr>
              <w:t xml:space="preserve">197067</w:t>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656897,0</w:t>
            </w:r>
          </w:p>
        </w:tc>
      </w:tr>
      <w:tr>
        <w:tc>
          <w:tcPr>
            <w:tcW w:w="1849" w:type="dxa"/>
            <w:vAlign w:val="center"/>
            <w:vMerge w:val="restart"/>
          </w:tcPr>
          <w:p>
            <w:pPr>
              <w:pStyle w:val="0"/>
              <w:jc w:val="center"/>
            </w:pPr>
            <w:r>
              <w:rPr>
                <w:sz w:val="20"/>
              </w:rPr>
              <w:t xml:space="preserve">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Align w:val="center"/>
            <w:vMerge w:val="restart"/>
          </w:tcPr>
          <w:p>
            <w:pPr>
              <w:pStyle w:val="0"/>
              <w:jc w:val="center"/>
            </w:pPr>
            <w:r>
              <w:rPr>
                <w:sz w:val="20"/>
              </w:rPr>
              <w:t xml:space="preserve">Объект размещения отходов (полигон) в Новооскольском городском округе в 2022 году</w:t>
            </w:r>
          </w:p>
        </w:tc>
        <w:tc>
          <w:tcPr>
            <w:tcW w:w="1984" w:type="dxa"/>
            <w:vAlign w:val="center"/>
            <w:vMerge w:val="restart"/>
          </w:tcPr>
          <w:p>
            <w:pPr>
              <w:pStyle w:val="0"/>
              <w:jc w:val="center"/>
            </w:pPr>
            <w:r>
              <w:rPr>
                <w:sz w:val="20"/>
              </w:rPr>
              <w:t xml:space="preserve">Размещение</w:t>
            </w:r>
          </w:p>
        </w:tc>
        <w:tc>
          <w:tcPr>
            <w:tcW w:w="1757" w:type="dxa"/>
            <w:vAlign w:val="center"/>
            <w:vMerge w:val="restart"/>
          </w:tcPr>
          <w:p>
            <w:pPr>
              <w:pStyle w:val="0"/>
              <w:jc w:val="center"/>
            </w:pPr>
            <w:r>
              <w:rPr>
                <w:sz w:val="20"/>
              </w:rPr>
              <w:t xml:space="preserve">Модернизация</w:t>
            </w:r>
          </w:p>
        </w:tc>
        <w:tc>
          <w:tcPr>
            <w:tcW w:w="1474" w:type="dxa"/>
            <w:vAlign w:val="center"/>
            <w:vMerge w:val="restart"/>
          </w:tcPr>
          <w:p>
            <w:pPr>
              <w:pStyle w:val="0"/>
              <w:jc w:val="center"/>
            </w:pPr>
            <w:r>
              <w:rPr>
                <w:sz w:val="20"/>
              </w:rPr>
              <w:t xml:space="preserve">-</w:t>
            </w:r>
          </w:p>
        </w:tc>
        <w:tc>
          <w:tcPr>
            <w:tcW w:w="1189" w:type="dxa"/>
            <w:vAlign w:val="center"/>
            <w:vMerge w:val="restart"/>
          </w:tcPr>
          <w:p>
            <w:pPr>
              <w:pStyle w:val="0"/>
              <w:jc w:val="center"/>
            </w:pPr>
            <w:r>
              <w:rPr>
                <w:sz w:val="20"/>
              </w:rPr>
              <w:t xml:space="preserve">20300,0</w:t>
            </w:r>
          </w:p>
        </w:tc>
        <w:tc>
          <w:tcPr>
            <w:tcW w:w="2224" w:type="dxa"/>
          </w:tcPr>
          <w:p>
            <w:pPr>
              <w:pStyle w:val="0"/>
            </w:pPr>
            <w:r>
              <w:rPr>
                <w:sz w:val="20"/>
              </w:rPr>
              <w:t xml:space="preserve">Всего</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tcW w:w="1849" w:type="dxa"/>
            <w:vAlign w:val="center"/>
            <w:vMerge w:val="restart"/>
          </w:tcPr>
          <w:p>
            <w:pPr>
              <w:pStyle w:val="0"/>
              <w:jc w:val="center"/>
            </w:pPr>
            <w:r>
              <w:rPr>
                <w:sz w:val="20"/>
              </w:rPr>
              <w:t xml:space="preserve">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Align w:val="center"/>
            <w:vMerge w:val="restart"/>
          </w:tcPr>
          <w:p>
            <w:pPr>
              <w:pStyle w:val="0"/>
              <w:jc w:val="center"/>
            </w:pPr>
            <w:r>
              <w:rPr>
                <w:sz w:val="20"/>
              </w:rPr>
              <w:t xml:space="preserve">Мусоросортировочный комплекс ТКО в Белгородском районе (с. Стрелецкое), увеличение мощности до 180 тыс. тонн ТКО в год в 2021 году</w:t>
            </w:r>
          </w:p>
        </w:tc>
        <w:tc>
          <w:tcPr>
            <w:tcW w:w="1984" w:type="dxa"/>
            <w:vAlign w:val="center"/>
            <w:vMerge w:val="restart"/>
          </w:tcPr>
          <w:p>
            <w:pPr>
              <w:pStyle w:val="0"/>
              <w:jc w:val="center"/>
            </w:pPr>
            <w:r>
              <w:rPr>
                <w:sz w:val="20"/>
              </w:rPr>
              <w:t xml:space="preserve">Обработка</w:t>
            </w:r>
          </w:p>
        </w:tc>
        <w:tc>
          <w:tcPr>
            <w:tcW w:w="1757" w:type="dxa"/>
            <w:vAlign w:val="center"/>
            <w:vMerge w:val="restart"/>
          </w:tcPr>
          <w:p>
            <w:pPr>
              <w:pStyle w:val="0"/>
              <w:jc w:val="center"/>
            </w:pPr>
            <w:r>
              <w:rPr>
                <w:sz w:val="20"/>
              </w:rPr>
              <w:t xml:space="preserve">Модернизация</w:t>
            </w:r>
          </w:p>
        </w:tc>
        <w:tc>
          <w:tcPr>
            <w:tcW w:w="1474" w:type="dxa"/>
            <w:vAlign w:val="center"/>
            <w:vMerge w:val="restart"/>
          </w:tcPr>
          <w:p>
            <w:pPr>
              <w:pStyle w:val="0"/>
              <w:jc w:val="center"/>
            </w:pPr>
            <w:r>
              <w:rPr>
                <w:sz w:val="20"/>
              </w:rPr>
              <w:t xml:space="preserve">До 180</w:t>
            </w:r>
          </w:p>
        </w:tc>
        <w:tc>
          <w:tcPr>
            <w:tcW w:w="1189" w:type="dxa"/>
            <w:vAlign w:val="center"/>
            <w:vMerge w:val="restart"/>
          </w:tcPr>
          <w:p>
            <w:pPr>
              <w:pStyle w:val="0"/>
              <w:jc w:val="center"/>
            </w:pPr>
            <w:r>
              <w:rPr>
                <w:sz w:val="20"/>
              </w:rPr>
              <w:t xml:space="preserve">20997,7</w:t>
            </w:r>
          </w:p>
        </w:tc>
        <w:tc>
          <w:tcPr>
            <w:tcW w:w="2224" w:type="dxa"/>
          </w:tcPr>
          <w:p>
            <w:pPr>
              <w:pStyle w:val="0"/>
            </w:pPr>
            <w:r>
              <w:rPr>
                <w:sz w:val="20"/>
              </w:rPr>
              <w:t xml:space="preserve">Всего</w:t>
            </w:r>
          </w:p>
        </w:tc>
        <w:tc>
          <w:tcPr>
            <w:tcW w:w="904" w:type="dxa"/>
            <w:vAlign w:val="center"/>
          </w:tcPr>
          <w:p>
            <w:pPr>
              <w:pStyle w:val="0"/>
              <w:jc w:val="center"/>
            </w:pPr>
            <w:r>
              <w:rPr>
                <w:sz w:val="20"/>
              </w:rPr>
              <w:t xml:space="preserve">20997,7</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20997,7</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t xml:space="preserve">0,0</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t xml:space="preserve">20997,7</w:t>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20997,7</w:t>
            </w:r>
          </w:p>
        </w:tc>
      </w:tr>
      <w:tr>
        <w:tc>
          <w:tcPr>
            <w:tcW w:w="1849" w:type="dxa"/>
            <w:vAlign w:val="center"/>
            <w:vMerge w:val="restart"/>
          </w:tcPr>
          <w:p>
            <w:pPr>
              <w:pStyle w:val="0"/>
              <w:jc w:val="center"/>
            </w:pPr>
            <w:r>
              <w:rPr>
                <w:sz w:val="20"/>
              </w:rPr>
              <w:t xml:space="preserve">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Align w:val="center"/>
            <w:vMerge w:val="restart"/>
          </w:tcPr>
          <w:p>
            <w:pPr>
              <w:pStyle w:val="0"/>
              <w:jc w:val="center"/>
            </w:pPr>
            <w:r>
              <w:rPr>
                <w:sz w:val="20"/>
              </w:rPr>
              <w:t xml:space="preserve">Мусоросортировочная станция в Алексеевском городском округе, увеличение мощности до 40 тыс. тонн ТКО в год в 2022 - 2023 годах</w:t>
            </w:r>
          </w:p>
        </w:tc>
        <w:tc>
          <w:tcPr>
            <w:tcW w:w="1984" w:type="dxa"/>
            <w:vAlign w:val="center"/>
            <w:vMerge w:val="restart"/>
          </w:tcPr>
          <w:p>
            <w:pPr>
              <w:pStyle w:val="0"/>
              <w:jc w:val="center"/>
            </w:pPr>
            <w:r>
              <w:rPr>
                <w:sz w:val="20"/>
              </w:rPr>
              <w:t xml:space="preserve">Обработка</w:t>
            </w:r>
          </w:p>
        </w:tc>
        <w:tc>
          <w:tcPr>
            <w:tcW w:w="1757" w:type="dxa"/>
            <w:vAlign w:val="center"/>
            <w:vMerge w:val="restart"/>
          </w:tcPr>
          <w:p>
            <w:pPr>
              <w:pStyle w:val="0"/>
              <w:jc w:val="center"/>
            </w:pPr>
            <w:r>
              <w:rPr>
                <w:sz w:val="20"/>
              </w:rPr>
              <w:t xml:space="preserve">Модернизация</w:t>
            </w:r>
          </w:p>
        </w:tc>
        <w:tc>
          <w:tcPr>
            <w:tcW w:w="1474" w:type="dxa"/>
            <w:vAlign w:val="center"/>
            <w:vMerge w:val="restart"/>
          </w:tcPr>
          <w:p>
            <w:pPr>
              <w:pStyle w:val="0"/>
              <w:jc w:val="center"/>
            </w:pPr>
            <w:r>
              <w:rPr>
                <w:sz w:val="20"/>
              </w:rPr>
              <w:t xml:space="preserve">До 40</w:t>
            </w:r>
          </w:p>
        </w:tc>
        <w:tc>
          <w:tcPr>
            <w:tcW w:w="1189" w:type="dxa"/>
            <w:vAlign w:val="center"/>
            <w:vMerge w:val="restart"/>
          </w:tcPr>
          <w:p>
            <w:pPr>
              <w:pStyle w:val="0"/>
              <w:jc w:val="center"/>
            </w:pPr>
            <w:r>
              <w:rPr>
                <w:sz w:val="20"/>
              </w:rPr>
              <w:t xml:space="preserve">86800,0</w:t>
            </w:r>
          </w:p>
        </w:tc>
        <w:tc>
          <w:tcPr>
            <w:tcW w:w="2224" w:type="dxa"/>
          </w:tcPr>
          <w:p>
            <w:pPr>
              <w:pStyle w:val="0"/>
            </w:pPr>
            <w:r>
              <w:rPr>
                <w:sz w:val="20"/>
              </w:rPr>
              <w:t xml:space="preserve">Всего</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86800,0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86800,0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r>
          </w:p>
        </w:tc>
        <w:tc>
          <w:tcPr>
            <w:tcW w:w="1024" w:type="dxa"/>
            <w:vAlign w:val="center"/>
          </w:tcPr>
          <w:p>
            <w:pPr>
              <w:pStyle w:val="0"/>
              <w:jc w:val="center"/>
            </w:pPr>
            <w:r>
              <w:rPr>
                <w:sz w:val="20"/>
              </w:rPr>
              <w:t xml:space="preserve">86800,0</w:t>
            </w:r>
          </w:p>
        </w:tc>
        <w:tc>
          <w:tcPr>
            <w:tcW w:w="1024" w:type="dxa"/>
            <w:vAlign w:val="center"/>
          </w:tcPr>
          <w:p>
            <w:pPr>
              <w:pStyle w:val="0"/>
              <w:jc w:val="center"/>
            </w:pPr>
            <w:r>
              <w:rPr>
                <w:sz w:val="20"/>
              </w:rPr>
            </w:r>
          </w:p>
        </w:tc>
        <w:tc>
          <w:tcPr>
            <w:tcW w:w="604" w:type="dxa"/>
            <w:vAlign w:val="center"/>
          </w:tcPr>
          <w:p>
            <w:pPr>
              <w:pStyle w:val="0"/>
              <w:jc w:val="center"/>
            </w:pPr>
            <w:r>
              <w:rPr>
                <w:sz w:val="20"/>
              </w:rPr>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86800,0</w:t>
            </w:r>
          </w:p>
        </w:tc>
      </w:tr>
      <w:tr>
        <w:tc>
          <w:tcPr>
            <w:tcW w:w="1849" w:type="dxa"/>
            <w:vAlign w:val="center"/>
            <w:vMerge w:val="restart"/>
          </w:tcPr>
          <w:p>
            <w:pPr>
              <w:pStyle w:val="0"/>
              <w:jc w:val="center"/>
            </w:pPr>
            <w:r>
              <w:rPr>
                <w:sz w:val="20"/>
              </w:rPr>
              <w:t xml:space="preserve">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Align w:val="center"/>
            <w:vMerge w:val="restart"/>
          </w:tcPr>
          <w:p>
            <w:pPr>
              <w:pStyle w:val="0"/>
              <w:jc w:val="center"/>
            </w:pPr>
            <w:r>
              <w:rPr>
                <w:sz w:val="20"/>
              </w:rPr>
              <w:t xml:space="preserve">Объект размещения отходов (полигон) в Ивнянском районе в 2024 году</w:t>
            </w:r>
          </w:p>
        </w:tc>
        <w:tc>
          <w:tcPr>
            <w:tcW w:w="1984" w:type="dxa"/>
            <w:vAlign w:val="center"/>
            <w:vMerge w:val="restart"/>
          </w:tcPr>
          <w:p>
            <w:pPr>
              <w:pStyle w:val="0"/>
              <w:jc w:val="center"/>
            </w:pPr>
            <w:r>
              <w:rPr>
                <w:sz w:val="20"/>
              </w:rPr>
              <w:t xml:space="preserve">Размещение</w:t>
            </w:r>
          </w:p>
        </w:tc>
        <w:tc>
          <w:tcPr>
            <w:tcW w:w="1757" w:type="dxa"/>
            <w:vAlign w:val="center"/>
            <w:vMerge w:val="restart"/>
          </w:tcPr>
          <w:p>
            <w:pPr>
              <w:pStyle w:val="0"/>
              <w:jc w:val="center"/>
            </w:pPr>
            <w:r>
              <w:rPr>
                <w:sz w:val="20"/>
              </w:rPr>
              <w:t xml:space="preserve">Модернизация</w:t>
            </w:r>
          </w:p>
        </w:tc>
        <w:tc>
          <w:tcPr>
            <w:tcW w:w="1474" w:type="dxa"/>
            <w:vAlign w:val="center"/>
            <w:vMerge w:val="restart"/>
          </w:tcPr>
          <w:p>
            <w:pPr>
              <w:pStyle w:val="0"/>
              <w:jc w:val="center"/>
            </w:pPr>
            <w:r>
              <w:rPr>
                <w:sz w:val="20"/>
              </w:rPr>
              <w:t xml:space="preserve">-</w:t>
            </w:r>
          </w:p>
        </w:tc>
        <w:tc>
          <w:tcPr>
            <w:tcW w:w="1189" w:type="dxa"/>
            <w:vAlign w:val="center"/>
            <w:vMerge w:val="restart"/>
          </w:tcPr>
          <w:p>
            <w:pPr>
              <w:pStyle w:val="0"/>
              <w:jc w:val="center"/>
            </w:pPr>
            <w:r>
              <w:rPr>
                <w:sz w:val="20"/>
              </w:rPr>
              <w:t xml:space="preserve">9000,0</w:t>
            </w:r>
          </w:p>
        </w:tc>
        <w:tc>
          <w:tcPr>
            <w:tcW w:w="2224" w:type="dxa"/>
          </w:tcPr>
          <w:p>
            <w:pPr>
              <w:pStyle w:val="0"/>
            </w:pPr>
            <w:r>
              <w:rPr>
                <w:sz w:val="20"/>
              </w:rPr>
              <w:t xml:space="preserve">Всего</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tcW w:w="1849" w:type="dxa"/>
            <w:vAlign w:val="center"/>
            <w:vMerge w:val="restart"/>
          </w:tcPr>
          <w:p>
            <w:pPr>
              <w:pStyle w:val="0"/>
              <w:jc w:val="center"/>
            </w:pPr>
            <w:r>
              <w:rPr>
                <w:sz w:val="20"/>
              </w:rPr>
              <w:t xml:space="preserve">Мероприятие 7.1.8 "Модернизация объектов обращения с твердыми коммунальными отходами", включающее модернизацию действующих объектов</w:t>
            </w:r>
          </w:p>
        </w:tc>
        <w:tc>
          <w:tcPr>
            <w:tcW w:w="2524" w:type="dxa"/>
            <w:vAlign w:val="center"/>
            <w:vMerge w:val="restart"/>
          </w:tcPr>
          <w:p>
            <w:pPr>
              <w:pStyle w:val="0"/>
              <w:jc w:val="center"/>
            </w:pPr>
            <w:r>
              <w:rPr>
                <w:sz w:val="20"/>
              </w:rPr>
              <w:t xml:space="preserve">Объект размещения отходов (полигон) в Ракитянском районе в 2024 году</w:t>
            </w:r>
          </w:p>
        </w:tc>
        <w:tc>
          <w:tcPr>
            <w:tcW w:w="1984" w:type="dxa"/>
            <w:vAlign w:val="center"/>
            <w:vMerge w:val="restart"/>
          </w:tcPr>
          <w:p>
            <w:pPr>
              <w:pStyle w:val="0"/>
              <w:jc w:val="center"/>
            </w:pPr>
            <w:r>
              <w:rPr>
                <w:sz w:val="20"/>
              </w:rPr>
              <w:t xml:space="preserve">Размещение</w:t>
            </w:r>
          </w:p>
        </w:tc>
        <w:tc>
          <w:tcPr>
            <w:tcW w:w="1757" w:type="dxa"/>
            <w:vAlign w:val="center"/>
            <w:vMerge w:val="restart"/>
          </w:tcPr>
          <w:p>
            <w:pPr>
              <w:pStyle w:val="0"/>
              <w:jc w:val="center"/>
            </w:pPr>
            <w:r>
              <w:rPr>
                <w:sz w:val="20"/>
              </w:rPr>
              <w:t xml:space="preserve">Модернизация</w:t>
            </w:r>
          </w:p>
        </w:tc>
        <w:tc>
          <w:tcPr>
            <w:tcW w:w="1474" w:type="dxa"/>
            <w:vAlign w:val="center"/>
            <w:vMerge w:val="restart"/>
          </w:tcPr>
          <w:p>
            <w:pPr>
              <w:pStyle w:val="0"/>
              <w:jc w:val="center"/>
            </w:pPr>
            <w:r>
              <w:rPr>
                <w:sz w:val="20"/>
              </w:rPr>
              <w:t xml:space="preserve">-</w:t>
            </w:r>
          </w:p>
        </w:tc>
        <w:tc>
          <w:tcPr>
            <w:tcW w:w="1189" w:type="dxa"/>
            <w:vAlign w:val="center"/>
            <w:vMerge w:val="restart"/>
          </w:tcPr>
          <w:p>
            <w:pPr>
              <w:pStyle w:val="0"/>
              <w:jc w:val="center"/>
            </w:pPr>
            <w:r>
              <w:rPr>
                <w:sz w:val="20"/>
              </w:rPr>
              <w:t xml:space="preserve">10000,0</w:t>
            </w:r>
          </w:p>
        </w:tc>
        <w:tc>
          <w:tcPr>
            <w:tcW w:w="2224" w:type="dxa"/>
          </w:tcPr>
          <w:p>
            <w:pPr>
              <w:pStyle w:val="0"/>
            </w:pPr>
            <w:r>
              <w:rPr>
                <w:sz w:val="20"/>
              </w:rPr>
              <w:t xml:space="preserve">Всего</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федеральный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областной бюджет</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консолидированные бюджеты муниципальных образований</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2224" w:type="dxa"/>
          </w:tcPr>
          <w:p>
            <w:pPr>
              <w:pStyle w:val="0"/>
            </w:pPr>
            <w:r>
              <w:rPr>
                <w:sz w:val="20"/>
              </w:rPr>
              <w:t xml:space="preserve">иные источники</w:t>
            </w:r>
          </w:p>
        </w:tc>
        <w:tc>
          <w:tcPr>
            <w:tcW w:w="904" w:type="dxa"/>
            <w:vAlign w:val="center"/>
          </w:tcPr>
          <w:p>
            <w:pPr>
              <w:pStyle w:val="0"/>
              <w:jc w:val="center"/>
            </w:pPr>
            <w:r>
              <w:rPr>
                <w:sz w:val="20"/>
              </w:rPr>
            </w:r>
          </w:p>
        </w:tc>
        <w:tc>
          <w:tcPr>
            <w:tcW w:w="1024" w:type="dxa"/>
            <w:vAlign w:val="center"/>
          </w:tcPr>
          <w:p>
            <w:pPr>
              <w:pStyle w:val="0"/>
              <w:jc w:val="center"/>
            </w:pPr>
            <w:r>
              <w:rPr>
                <w:sz w:val="20"/>
              </w:rPr>
            </w:r>
          </w:p>
        </w:tc>
        <w:tc>
          <w:tcPr>
            <w:tcW w:w="1024" w:type="dxa"/>
            <w:vAlign w:val="center"/>
          </w:tcPr>
          <w:p>
            <w:pPr>
              <w:pStyle w:val="0"/>
              <w:jc w:val="center"/>
            </w:pPr>
            <w:r>
              <w:rPr>
                <w:sz w:val="20"/>
              </w:rPr>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r>
          </w:p>
        </w:tc>
        <w:tc>
          <w:tcPr>
            <w:tcW w:w="1024" w:type="dxa"/>
            <w:vAlign w:val="center"/>
          </w:tcPr>
          <w:p>
            <w:pPr>
              <w:pStyle w:val="0"/>
              <w:jc w:val="center"/>
            </w:pPr>
            <w:r>
              <w:rPr>
                <w:sz w:val="20"/>
              </w:rPr>
              <w:t xml:space="preserve">0,0</w:t>
            </w:r>
          </w:p>
        </w:tc>
      </w:tr>
    </w:tbl>
    <w:p>
      <w:pPr>
        <w:sectPr>
          <w:headerReference w:type="default" r:id="rId190"/>
          <w:headerReference w:type="first" r:id="rId190"/>
          <w:footerReference w:type="default" r:id="rId191"/>
          <w:footerReference w:type="first" r:id="rId191"/>
          <w:pgSz w:w="16838" w:h="11906" w:orient="landscape"/>
          <w:pgMar w:top="1133" w:right="1440" w:bottom="566" w:left="1440" w:header="0" w:footer="0" w:gutter="0"/>
          <w:titlePg/>
        </w:sectPr>
      </w:pP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14</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jc w:val="both"/>
      </w:pPr>
      <w:r>
        <w:rPr>
          <w:sz w:val="20"/>
        </w:rPr>
      </w:r>
    </w:p>
    <w:bookmarkStart w:id="11674" w:name="P11674"/>
    <w:bookmarkEnd w:id="11674"/>
    <w:p>
      <w:pPr>
        <w:pStyle w:val="2"/>
        <w:jc w:val="center"/>
      </w:pPr>
      <w:r>
        <w:rPr>
          <w:sz w:val="20"/>
        </w:rPr>
        <w:t xml:space="preserve">Порядок</w:t>
      </w:r>
    </w:p>
    <w:p>
      <w:pPr>
        <w:pStyle w:val="2"/>
        <w:jc w:val="center"/>
      </w:pPr>
      <w:r>
        <w:rPr>
          <w:sz w:val="20"/>
        </w:rPr>
        <w:t xml:space="preserve">предоставления субсидии из областного бюджета автономной</w:t>
      </w:r>
    </w:p>
    <w:p>
      <w:pPr>
        <w:pStyle w:val="2"/>
        <w:jc w:val="center"/>
      </w:pPr>
      <w:r>
        <w:rPr>
          <w:sz w:val="20"/>
        </w:rPr>
        <w:t xml:space="preserve">некоммерческой организации "Зеленая инфраструктура городов"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64" w:tooltip="Постановление Правительства Белгородской обл. от 17.01.2022 N 20-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17.01.2022 N 20-пп;</w:t>
            </w:r>
          </w:p>
          <w:p>
            <w:pPr>
              <w:pStyle w:val="0"/>
              <w:jc w:val="center"/>
            </w:pPr>
            <w:r>
              <w:rPr>
                <w:sz w:val="20"/>
                <w:color w:val="392c69"/>
              </w:rPr>
              <w:t xml:space="preserve">в ред. </w:t>
            </w:r>
            <w:hyperlink w:history="0" r:id="rId265"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06.02.2023 N 44-пп)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Порядок предоставления субсидии из областного бюджета автономной некоммерческой организации "Зеленая инфраструктура городов" (далее - Порядок) определяет цели, условия и порядок предоставления субсидии из областного бюджета автономной некоммерческой организации "Зеленая инфраструктура городов" (далее - субсидия, АНО "Зеленая инфраструктура городов" соответственно) на реализацию основного мероприятия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(далее - подпрограмма 3), утвержденной постановлением Правительства Белгородской области от 16 декабря 2013 года N 517-пп.</w:t>
      </w:r>
    </w:p>
    <w:bookmarkStart w:id="11686" w:name="P11686"/>
    <w:bookmarkEnd w:id="11686"/>
    <w:p>
      <w:pPr>
        <w:pStyle w:val="0"/>
        <w:spacing w:before="200" w:line-rule="auto"/>
        <w:ind w:firstLine="540"/>
        <w:jc w:val="both"/>
      </w:pPr>
      <w:r>
        <w:rPr>
          <w:sz w:val="20"/>
        </w:rPr>
        <w:t xml:space="preserve">1.2. Цель предоставления субсидии - финансовое обеспечение затрат АНО "Зеленая инфраструктура городов",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w:t>
      </w:r>
    </w:p>
    <w:bookmarkStart w:id="11687" w:name="P11687"/>
    <w:bookmarkEnd w:id="11687"/>
    <w:p>
      <w:pPr>
        <w:pStyle w:val="0"/>
        <w:spacing w:before="200" w:line-rule="auto"/>
        <w:ind w:firstLine="540"/>
        <w:jc w:val="both"/>
      </w:pPr>
      <w:r>
        <w:rPr>
          <w:sz w:val="20"/>
        </w:rPr>
        <w:t xml:space="preserve">1.3. Направлениями расходов, источником финансового обеспечения которых является субсидия, являются:</w:t>
      </w:r>
    </w:p>
    <w:p>
      <w:pPr>
        <w:pStyle w:val="0"/>
        <w:spacing w:before="200" w:line-rule="auto"/>
        <w:ind w:firstLine="540"/>
        <w:jc w:val="both"/>
      </w:pPr>
      <w:r>
        <w:rPr>
          <w:sz w:val="20"/>
        </w:rPr>
        <w:t xml:space="preserve">а) создание интерактивной карты и базы данных зеленой инфраструктуры города Белгорода как пилотной территории Белгородской области с внесением в нее всех городских урбобиоценозов (далее - УБЦ), деревьев и их основных характеристик;</w:t>
      </w:r>
    </w:p>
    <w:p>
      <w:pPr>
        <w:pStyle w:val="0"/>
        <w:spacing w:before="200" w:line-rule="auto"/>
        <w:ind w:firstLine="540"/>
        <w:jc w:val="both"/>
      </w:pPr>
      <w:r>
        <w:rPr>
          <w:sz w:val="20"/>
        </w:rPr>
        <w:t xml:space="preserve">б) разработка методик оценки экономического эффекта и экологического эффекта от УБЦ;</w:t>
      </w:r>
    </w:p>
    <w:p>
      <w:pPr>
        <w:pStyle w:val="0"/>
        <w:spacing w:before="200" w:line-rule="auto"/>
        <w:ind w:firstLine="540"/>
        <w:jc w:val="both"/>
      </w:pPr>
      <w:r>
        <w:rPr>
          <w:sz w:val="20"/>
        </w:rPr>
        <w:t xml:space="preserve">в) разработка систем мониторинга функционирования УБЦ и организация пробных площадок;</w:t>
      </w:r>
    </w:p>
    <w:p>
      <w:pPr>
        <w:pStyle w:val="0"/>
        <w:spacing w:before="200" w:line-rule="auto"/>
        <w:ind w:firstLine="540"/>
        <w:jc w:val="both"/>
      </w:pPr>
      <w:r>
        <w:rPr>
          <w:sz w:val="20"/>
        </w:rPr>
        <w:t xml:space="preserve">г) разработка типологии УБЦ города Белгорода как объектов, обеспечивающих наибольший экономический и экологический эффект. Проектирование оптимальных УБЦ для зеленой инфраструктуры города;</w:t>
      </w:r>
    </w:p>
    <w:p>
      <w:pPr>
        <w:pStyle w:val="0"/>
        <w:spacing w:before="200" w:line-rule="auto"/>
        <w:ind w:firstLine="540"/>
        <w:jc w:val="both"/>
      </w:pPr>
      <w:r>
        <w:rPr>
          <w:sz w:val="20"/>
        </w:rPr>
        <w:t xml:space="preserve">д) разработка цифровых приложений учета, анализа, функционирования, проектирования эксплуатации зеленой инфраструктуры (системы УБЦ) города Белгорода;</w:t>
      </w:r>
    </w:p>
    <w:p>
      <w:pPr>
        <w:pStyle w:val="0"/>
        <w:spacing w:before="200" w:line-rule="auto"/>
        <w:ind w:firstLine="540"/>
        <w:jc w:val="both"/>
      </w:pPr>
      <w:r>
        <w:rPr>
          <w:sz w:val="20"/>
        </w:rPr>
        <w:t xml:space="preserve">е) организационные расходы АНО "Зеленая инфраструктура городов", включающие в себя: фонд оплаты труда, начисления на оплату труда, премиальный фонд, приобретение расходных материалов, услуги связи, коммунальные услуги, включая аренду помещений, командировки и прочие текущие расходы;</w:t>
      </w:r>
    </w:p>
    <w:p>
      <w:pPr>
        <w:pStyle w:val="0"/>
        <w:spacing w:before="200" w:line-rule="auto"/>
        <w:ind w:firstLine="540"/>
        <w:jc w:val="both"/>
      </w:pPr>
      <w:r>
        <w:rPr>
          <w:sz w:val="20"/>
        </w:rPr>
        <w:t xml:space="preserve">ж) прочие расходы, связанные с обеспечением деятельности АНО "Зеленая инфраструктура городов", на цель, указанную в </w:t>
      </w:r>
      <w:hyperlink w:history="0" w:anchor="P11686" w:tooltip="1.2. Цель предоставления субсидии - финансовое обеспечение затрат АНО &quot;Зеленая инфраструктура городов&quot;,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w:r>
          <w:rPr>
            <w:sz w:val="20"/>
            <w:color w:val="0000ff"/>
          </w:rPr>
          <w:t xml:space="preserve">пункте 1.2 раздела 1</w:t>
        </w:r>
      </w:hyperlink>
      <w:r>
        <w:rPr>
          <w:sz w:val="20"/>
        </w:rPr>
        <w:t xml:space="preserve"> Порядка.</w:t>
      </w:r>
    </w:p>
    <w:bookmarkStart w:id="11695" w:name="P11695"/>
    <w:bookmarkEnd w:id="11695"/>
    <w:p>
      <w:pPr>
        <w:pStyle w:val="0"/>
        <w:spacing w:before="200" w:line-rule="auto"/>
        <w:ind w:firstLine="540"/>
        <w:jc w:val="both"/>
      </w:pPr>
      <w:r>
        <w:rPr>
          <w:sz w:val="20"/>
        </w:rPr>
        <w:t xml:space="preserve">1.4. Предоставление субсидии осуществляется в пределах бюджетных ассигнований, предусмотренных законом Белгородской области об областном бюджете на соответствующий финансовый год и на плановый период на цель, указанную в пункте 1.2 раздела 1 Порядка, за счет средств областного бюджета.</w:t>
      </w:r>
    </w:p>
    <w:p>
      <w:pPr>
        <w:pStyle w:val="0"/>
        <w:spacing w:before="200" w:line-rule="auto"/>
        <w:ind w:firstLine="540"/>
        <w:jc w:val="both"/>
      </w:pPr>
      <w:r>
        <w:rPr>
          <w:sz w:val="20"/>
        </w:rPr>
        <w:t xml:space="preserve">1.5. Главным распорядителем бюджетных средств является министерство экономического развития и промышленности Белгородской области (далее - Министерство),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w:t>
      </w:r>
    </w:p>
    <w:p>
      <w:pPr>
        <w:pStyle w:val="0"/>
        <w:spacing w:before="200" w:line-rule="auto"/>
        <w:ind w:firstLine="540"/>
        <w:jc w:val="both"/>
      </w:pPr>
      <w:r>
        <w:rPr>
          <w:sz w:val="20"/>
        </w:rPr>
        <w:t xml:space="preserve">1.6. АНО "Зеленая инфраструктура городов" является получателем субсидии, определенным в соответствии с законом Белгородской области об областном бюджете на соответствующий финансовый год и на плановый период.</w:t>
      </w:r>
    </w:p>
    <w:p>
      <w:pPr>
        <w:pStyle w:val="0"/>
        <w:spacing w:before="200" w:line-rule="auto"/>
        <w:ind w:firstLine="540"/>
        <w:jc w:val="both"/>
      </w:pPr>
      <w:r>
        <w:rPr>
          <w:sz w:val="20"/>
        </w:rPr>
        <w:t xml:space="preserve">1.7. Сведения о субсидии размещаются в разделе "Бюджет" на едином портале бюджетной системы Российской Федерации в сети Интернет при формировании проекта закона Белгородской области об областном бюджете (проекта закона Белгородской области о внесении изменений в закон Белгородской области об областном бюджете).</w:t>
      </w:r>
    </w:p>
    <w:p>
      <w:pPr>
        <w:pStyle w:val="0"/>
        <w:jc w:val="both"/>
      </w:pPr>
      <w:r>
        <w:rPr>
          <w:sz w:val="20"/>
        </w:rPr>
      </w:r>
    </w:p>
    <w:p>
      <w:pPr>
        <w:pStyle w:val="2"/>
        <w:outlineLvl w:val="2"/>
        <w:jc w:val="center"/>
      </w:pPr>
      <w:r>
        <w:rPr>
          <w:sz w:val="20"/>
        </w:rPr>
        <w:t xml:space="preserve">2. Условия и порядок предоставления субсидии</w:t>
      </w:r>
    </w:p>
    <w:p>
      <w:pPr>
        <w:pStyle w:val="0"/>
        <w:jc w:val="both"/>
      </w:pPr>
      <w:r>
        <w:rPr>
          <w:sz w:val="20"/>
        </w:rPr>
      </w:r>
    </w:p>
    <w:p>
      <w:pPr>
        <w:pStyle w:val="0"/>
        <w:ind w:firstLine="540"/>
        <w:jc w:val="both"/>
      </w:pPr>
      <w:r>
        <w:rPr>
          <w:sz w:val="20"/>
        </w:rPr>
        <w:t xml:space="preserve">2.1. Субсидия предоставляется АНО "Зеленая инфраструктура городов" при условии:</w:t>
      </w:r>
    </w:p>
    <w:p>
      <w:pPr>
        <w:pStyle w:val="0"/>
        <w:spacing w:before="200" w:line-rule="auto"/>
        <w:ind w:firstLine="540"/>
        <w:jc w:val="both"/>
      </w:pPr>
      <w:r>
        <w:rPr>
          <w:sz w:val="20"/>
        </w:rPr>
        <w:t xml:space="preserve">2.1.1. Согласия АНО "Зеленая инфраструктура городов" на осуществление Министерством,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w:t>
      </w:r>
    </w:p>
    <w:p>
      <w:pPr>
        <w:pStyle w:val="0"/>
        <w:spacing w:before="200" w:line-rule="auto"/>
        <w:ind w:firstLine="540"/>
        <w:jc w:val="both"/>
      </w:pPr>
      <w:r>
        <w:rPr>
          <w:sz w:val="20"/>
        </w:rPr>
        <w:t xml:space="preserve">2.1.2. Соблюдения АНО "Зеленая инфраструктура городов" запрета приобретения за счет полученных из областного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pPr>
        <w:pStyle w:val="0"/>
        <w:spacing w:before="200" w:line-rule="auto"/>
        <w:ind w:firstLine="540"/>
        <w:jc w:val="both"/>
      </w:pPr>
      <w:r>
        <w:rPr>
          <w:sz w:val="20"/>
        </w:rPr>
        <w:t xml:space="preserve">2.1.3. Наличия финансового плана АНО "Зеленая инфраструктура городов", отражающего все поступления, источником образования которых является субсидия, предоставляемые АНО "Зеленая инфраструктура городов", и затраты АНО "Зеленая инфраструктура городов", предусмотренные </w:t>
      </w:r>
      <w:hyperlink w:history="0" w:anchor="P11687" w:tooltip="1.3. Направлениями расходов, источником финансового обеспечения которых является субсидия, являются:">
        <w:r>
          <w:rPr>
            <w:sz w:val="20"/>
            <w:color w:val="0000ff"/>
          </w:rPr>
          <w:t xml:space="preserve">пунктом 1.3 раздела 1</w:t>
        </w:r>
      </w:hyperlink>
      <w:r>
        <w:rPr>
          <w:sz w:val="20"/>
        </w:rPr>
        <w:t xml:space="preserve"> Порядка, с их расшифровкой.</w:t>
      </w:r>
    </w:p>
    <w:p>
      <w:pPr>
        <w:pStyle w:val="0"/>
        <w:spacing w:before="200" w:line-rule="auto"/>
        <w:ind w:firstLine="540"/>
        <w:jc w:val="both"/>
      </w:pPr>
      <w:r>
        <w:rPr>
          <w:sz w:val="20"/>
        </w:rPr>
        <w:t xml:space="preserve">2.1.4. Наличия подписанного руководителем АНО "Зеленая инфраструктура городов" плана работ АНО "Зеленая инфраструктура городов" на год, в котором предоставляется субсидия, с указанием наименования и содержания мероприятий.</w:t>
      </w:r>
    </w:p>
    <w:p>
      <w:pPr>
        <w:pStyle w:val="0"/>
        <w:spacing w:before="200" w:line-rule="auto"/>
        <w:ind w:firstLine="540"/>
        <w:jc w:val="both"/>
      </w:pPr>
      <w:r>
        <w:rPr>
          <w:sz w:val="20"/>
        </w:rPr>
        <w:t xml:space="preserve">2.1.5. Наличия плана командировок сотрудников АНО "Зеленая инфраструктура городов" на текущий год, в котором предоставляется субсидия.</w:t>
      </w:r>
    </w:p>
    <w:p>
      <w:pPr>
        <w:pStyle w:val="0"/>
        <w:spacing w:before="200" w:line-rule="auto"/>
        <w:ind w:firstLine="540"/>
        <w:jc w:val="both"/>
      </w:pPr>
      <w:r>
        <w:rPr>
          <w:sz w:val="20"/>
        </w:rPr>
        <w:t xml:space="preserve">2.1.6. Включения в договоры (соглашения), заключенные в целях исполнения обязательств по соглашению о предоставлении субсидии, следующих положений:</w:t>
      </w:r>
    </w:p>
    <w:bookmarkStart w:id="11709" w:name="P11709"/>
    <w:bookmarkEnd w:id="11709"/>
    <w:p>
      <w:pPr>
        <w:pStyle w:val="0"/>
        <w:spacing w:before="200" w:line-rule="auto"/>
        <w:ind w:firstLine="540"/>
        <w:jc w:val="both"/>
      </w:pPr>
      <w:r>
        <w:rPr>
          <w:sz w:val="20"/>
        </w:rPr>
        <w:t xml:space="preserve">а) согласие лиц, получающих средства на основании договоров (соглашений), на осуществление Министерством, Контрольно-счетной палатой Белгородской области и другими органами государственного финансового контроля проверки соблюдения целей, условий и порядка предоставления субсидии;</w:t>
      </w:r>
    </w:p>
    <w:bookmarkStart w:id="11710" w:name="P11710"/>
    <w:bookmarkEnd w:id="11710"/>
    <w:p>
      <w:pPr>
        <w:pStyle w:val="0"/>
        <w:spacing w:before="200" w:line-rule="auto"/>
        <w:ind w:firstLine="540"/>
        <w:jc w:val="both"/>
      </w:pPr>
      <w:r>
        <w:rPr>
          <w:sz w:val="20"/>
        </w:rPr>
        <w:t xml:space="preserve">б) запрет приобретения лицами, получающими средства на основании договоров (соглашений),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bookmarkStart w:id="11711" w:name="P11711"/>
    <w:bookmarkEnd w:id="11711"/>
    <w:p>
      <w:pPr>
        <w:pStyle w:val="0"/>
        <w:spacing w:before="200" w:line-rule="auto"/>
        <w:ind w:firstLine="540"/>
        <w:jc w:val="both"/>
      </w:pPr>
      <w:r>
        <w:rPr>
          <w:sz w:val="20"/>
        </w:rPr>
        <w:t xml:space="preserve">2.1.7. Соответствия АНО "Зеленая инфраструктура городов" на первое число месяца, предшествующего месяцу, в котором планируется подача заявления о предоставлении субсидии, указанного в </w:t>
      </w:r>
      <w:hyperlink w:history="0" w:anchor="P11716" w:tooltip="1) заявление о предоставлении субсидии по форме согласно приложению N 1 к Порядку;">
        <w:r>
          <w:rPr>
            <w:sz w:val="20"/>
            <w:color w:val="0000ff"/>
          </w:rPr>
          <w:t xml:space="preserve">подпункте 1 пункта 2.2 раздела 2</w:t>
        </w:r>
      </w:hyperlink>
      <w:r>
        <w:rPr>
          <w:sz w:val="20"/>
        </w:rPr>
        <w:t xml:space="preserve"> Порядка, следующим требованиям:</w:t>
      </w:r>
    </w:p>
    <w:p>
      <w:pPr>
        <w:pStyle w:val="0"/>
        <w:spacing w:before="200" w:line-rule="auto"/>
        <w:ind w:firstLine="540"/>
        <w:jc w:val="both"/>
      </w:pPr>
      <w:r>
        <w:rPr>
          <w:sz w:val="20"/>
        </w:rPr>
        <w:t xml:space="preserve">а) АНО "Зеленая инфраструктура городов"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pPr>
        <w:pStyle w:val="0"/>
        <w:jc w:val="both"/>
      </w:pPr>
      <w:r>
        <w:rPr>
          <w:sz w:val="20"/>
        </w:rPr>
        <w:t xml:space="preserve">(пп. "а" в ред. </w:t>
      </w:r>
      <w:hyperlink w:history="0" r:id="rId266"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б) АНО "Зеленая инфраструктура городов" не получает средства из областного бюджета в соответствии с иными нормативными правовыми актами на цель, указанную в </w:t>
      </w:r>
      <w:hyperlink w:history="0" w:anchor="P11686" w:tooltip="1.2. Цель предоставления субсидии - финансовое обеспечение затрат АНО &quot;Зеленая инфраструктура городов&quot;,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w:r>
          <w:rPr>
            <w:sz w:val="20"/>
            <w:color w:val="0000ff"/>
          </w:rPr>
          <w:t xml:space="preserve">пункте 1.2 раздела 1</w:t>
        </w:r>
      </w:hyperlink>
      <w:r>
        <w:rPr>
          <w:sz w:val="20"/>
        </w:rPr>
        <w:t xml:space="preserve"> Порядка.</w:t>
      </w:r>
    </w:p>
    <w:bookmarkStart w:id="11715" w:name="P11715"/>
    <w:bookmarkEnd w:id="11715"/>
    <w:p>
      <w:pPr>
        <w:pStyle w:val="0"/>
        <w:spacing w:before="200" w:line-rule="auto"/>
        <w:ind w:firstLine="540"/>
        <w:jc w:val="both"/>
      </w:pPr>
      <w:r>
        <w:rPr>
          <w:sz w:val="20"/>
        </w:rPr>
        <w:t xml:space="preserve">2.2. Для получения субсидии АНО "Зеленая инфраструктура городов" представляет в Министерство следующие документы:</w:t>
      </w:r>
    </w:p>
    <w:bookmarkStart w:id="11716" w:name="P11716"/>
    <w:bookmarkEnd w:id="11716"/>
    <w:p>
      <w:pPr>
        <w:pStyle w:val="0"/>
        <w:spacing w:before="200" w:line-rule="auto"/>
        <w:ind w:firstLine="540"/>
        <w:jc w:val="both"/>
      </w:pPr>
      <w:r>
        <w:rPr>
          <w:sz w:val="20"/>
        </w:rPr>
        <w:t xml:space="preserve">1) </w:t>
      </w:r>
      <w:hyperlink w:history="0" w:anchor="P11814" w:tooltip="Заявление">
        <w:r>
          <w:rPr>
            <w:sz w:val="20"/>
            <w:color w:val="0000ff"/>
          </w:rPr>
          <w:t xml:space="preserve">заявление</w:t>
        </w:r>
      </w:hyperlink>
      <w:r>
        <w:rPr>
          <w:sz w:val="20"/>
        </w:rPr>
        <w:t xml:space="preserve"> о предоставлении субсидии по форме согласно приложению N 1 к Порядку;</w:t>
      </w:r>
    </w:p>
    <w:p>
      <w:pPr>
        <w:pStyle w:val="0"/>
        <w:spacing w:before="200" w:line-rule="auto"/>
        <w:ind w:firstLine="540"/>
        <w:jc w:val="both"/>
      </w:pPr>
      <w:r>
        <w:rPr>
          <w:sz w:val="20"/>
        </w:rPr>
        <w:t xml:space="preserve">2) </w:t>
      </w:r>
      <w:hyperlink w:history="0" w:anchor="P11849" w:tooltip="Согласие">
        <w:r>
          <w:rPr>
            <w:sz w:val="20"/>
            <w:color w:val="0000ff"/>
          </w:rPr>
          <w:t xml:space="preserve">согласие</w:t>
        </w:r>
      </w:hyperlink>
      <w:r>
        <w:rPr>
          <w:sz w:val="20"/>
        </w:rPr>
        <w:t xml:space="preserve"> АНО "Зеленая инфраструктура городов" на осуществление Министерством,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 по форме согласно приложению N 2 к Порядку;</w:t>
      </w:r>
    </w:p>
    <w:p>
      <w:pPr>
        <w:pStyle w:val="0"/>
        <w:spacing w:before="200" w:line-rule="auto"/>
        <w:ind w:firstLine="540"/>
        <w:jc w:val="both"/>
      </w:pPr>
      <w:r>
        <w:rPr>
          <w:sz w:val="20"/>
        </w:rPr>
        <w:t xml:space="preserve">3) </w:t>
      </w:r>
      <w:hyperlink w:history="0" w:anchor="P11872" w:tooltip="Обязательство">
        <w:r>
          <w:rPr>
            <w:sz w:val="20"/>
            <w:color w:val="0000ff"/>
          </w:rPr>
          <w:t xml:space="preserve">обязательство</w:t>
        </w:r>
      </w:hyperlink>
      <w:r>
        <w:rPr>
          <w:sz w:val="20"/>
        </w:rPr>
        <w:t xml:space="preserve"> АНО "Зеленая инфраструктура городов" не приобретать за счет полученных из областного бюджета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по форме согласно приложению N 3 к Порядку;</w:t>
      </w:r>
    </w:p>
    <w:p>
      <w:pPr>
        <w:pStyle w:val="0"/>
        <w:spacing w:before="200" w:line-rule="auto"/>
        <w:ind w:firstLine="540"/>
        <w:jc w:val="both"/>
      </w:pPr>
      <w:r>
        <w:rPr>
          <w:sz w:val="20"/>
        </w:rPr>
        <w:t xml:space="preserve">4) копию финансового плана АНО "Зеленая инфраструктура городов", отражающего все поступления, источником образования которых является субсидия, предоставляемые АНО "Зеленая инфраструктура городов", и затраты АНО "Зеленая инфраструктура городов", предусмотренные </w:t>
      </w:r>
      <w:hyperlink w:history="0" w:anchor="P11687" w:tooltip="1.3. Направлениями расходов, источником финансового обеспечения которых является субсидия, являются:">
        <w:r>
          <w:rPr>
            <w:sz w:val="20"/>
            <w:color w:val="0000ff"/>
          </w:rPr>
          <w:t xml:space="preserve">пунктом 1.3 раздела 1</w:t>
        </w:r>
      </w:hyperlink>
      <w:r>
        <w:rPr>
          <w:sz w:val="20"/>
        </w:rPr>
        <w:t xml:space="preserve"> Порядка, с их расшифровкой, подписанного руководителем АНО "Зеленая инфраструктура городов";</w:t>
      </w:r>
    </w:p>
    <w:p>
      <w:pPr>
        <w:pStyle w:val="0"/>
        <w:spacing w:before="200" w:line-rule="auto"/>
        <w:ind w:firstLine="540"/>
        <w:jc w:val="both"/>
      </w:pPr>
      <w:r>
        <w:rPr>
          <w:sz w:val="20"/>
        </w:rPr>
        <w:t xml:space="preserve">5) копию плана работ АНО "Зеленая инфраструктура городов" на год, в котором предоставляется субсидия, с указанием наименования и содержания мероприятий, подписанного руководителем АНО "Зеленая инфраструктура городов";</w:t>
      </w:r>
    </w:p>
    <w:p>
      <w:pPr>
        <w:pStyle w:val="0"/>
        <w:spacing w:before="200" w:line-rule="auto"/>
        <w:ind w:firstLine="540"/>
        <w:jc w:val="both"/>
      </w:pPr>
      <w:r>
        <w:rPr>
          <w:sz w:val="20"/>
        </w:rPr>
        <w:t xml:space="preserve">6) копию плана командировок сотрудников АНО "Зеленая инфраструктура городов" на текущий год, в котором предоставляется субсидия, подписанного руководителем АНО "Зеленая инфраструктура городов";</w:t>
      </w:r>
    </w:p>
    <w:p>
      <w:pPr>
        <w:pStyle w:val="0"/>
        <w:spacing w:before="200" w:line-rule="auto"/>
        <w:ind w:firstLine="540"/>
        <w:jc w:val="both"/>
      </w:pPr>
      <w:r>
        <w:rPr>
          <w:sz w:val="20"/>
        </w:rPr>
        <w:t xml:space="preserve">7) </w:t>
      </w:r>
      <w:hyperlink w:history="0" w:anchor="P11895" w:tooltip="Обязательство">
        <w:r>
          <w:rPr>
            <w:sz w:val="20"/>
            <w:color w:val="0000ff"/>
          </w:rPr>
          <w:t xml:space="preserve">обязательство</w:t>
        </w:r>
      </w:hyperlink>
      <w:r>
        <w:rPr>
          <w:sz w:val="20"/>
        </w:rPr>
        <w:t xml:space="preserve"> АНО "Зеленая инфраструктура городов" о включении в договоры (соглашения), заключенные в целях исполнения обязательств по соглашению о предоставлении субсидии, положений, указанных в </w:t>
      </w:r>
      <w:hyperlink w:history="0" w:anchor="P11709" w:tooltip="а) согласие лиц, получающих средства на основании договоров (соглашений), на осуществление Министерством, Контрольно-счетной палатой Белгородской области и другими органами государственного финансового контроля проверки соблюдения целей, условий и порядка предоставления субсидии;">
        <w:r>
          <w:rPr>
            <w:sz w:val="20"/>
            <w:color w:val="0000ff"/>
          </w:rPr>
          <w:t xml:space="preserve">подпунктах "а"</w:t>
        </w:r>
      </w:hyperlink>
      <w:r>
        <w:rPr>
          <w:sz w:val="20"/>
        </w:rPr>
        <w:t xml:space="preserve"> и </w:t>
      </w:r>
      <w:hyperlink w:history="0" w:anchor="P11710" w:tooltip="б) запрет приобретения лицами, получающими средства на основании договоров (соглашен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r>
          <w:rPr>
            <w:sz w:val="20"/>
            <w:color w:val="0000ff"/>
          </w:rPr>
          <w:t xml:space="preserve">"б" подпункта 2.1.6 пункта 2.1 раздела 2</w:t>
        </w:r>
      </w:hyperlink>
      <w:r>
        <w:rPr>
          <w:sz w:val="20"/>
        </w:rPr>
        <w:t xml:space="preserve"> Порядка, по форме согласно приложению N 4 к Порядку;</w:t>
      </w:r>
    </w:p>
    <w:p>
      <w:pPr>
        <w:pStyle w:val="0"/>
        <w:spacing w:before="200" w:line-rule="auto"/>
        <w:ind w:firstLine="540"/>
        <w:jc w:val="both"/>
      </w:pPr>
      <w:r>
        <w:rPr>
          <w:sz w:val="20"/>
        </w:rPr>
        <w:t xml:space="preserve">8) </w:t>
      </w:r>
      <w:hyperlink w:history="0" w:anchor="P11923" w:tooltip="Справка">
        <w:r>
          <w:rPr>
            <w:sz w:val="20"/>
            <w:color w:val="0000ff"/>
          </w:rPr>
          <w:t xml:space="preserve">справку</w:t>
        </w:r>
      </w:hyperlink>
      <w:r>
        <w:rPr>
          <w:sz w:val="20"/>
        </w:rPr>
        <w:t xml:space="preserve">, подтверждающую соответствие АНО "Зеленая инфраструктура городов" на первое число месяца, предшествующего месяцу, в котором планируется подача заявления о предоставлении субсидии, указанного в </w:t>
      </w:r>
      <w:hyperlink w:history="0" w:anchor="P11716" w:tooltip="1) заявление о предоставлении субсидии по форме согласно приложению N 1 к Порядку;">
        <w:r>
          <w:rPr>
            <w:sz w:val="20"/>
            <w:color w:val="0000ff"/>
          </w:rPr>
          <w:t xml:space="preserve">подпункте 1 пункта 2.2 раздела 2</w:t>
        </w:r>
      </w:hyperlink>
      <w:r>
        <w:rPr>
          <w:sz w:val="20"/>
        </w:rPr>
        <w:t xml:space="preserve"> Порядка, требованиям, указанным в </w:t>
      </w:r>
      <w:hyperlink w:history="0" w:anchor="P11711" w:tooltip="2.1.7. Соответствия АНО &quot;Зеленая инфраструктура городов&quot; на первое число месяца, предшествующего месяцу, в котором планируется подача заявления о предоставлении субсидии, указанного в подпункте 1 пункта 2.2 раздела 2 Порядка, следующим требованиям:">
        <w:r>
          <w:rPr>
            <w:sz w:val="20"/>
            <w:color w:val="0000ff"/>
          </w:rPr>
          <w:t xml:space="preserve">подпункте 2.1.7 пункта 2.1 раздела 2</w:t>
        </w:r>
      </w:hyperlink>
      <w:r>
        <w:rPr>
          <w:sz w:val="20"/>
        </w:rPr>
        <w:t xml:space="preserve"> Порядка, по форме согласно приложению N 5 к Порядку.</w:t>
      </w:r>
    </w:p>
    <w:bookmarkStart w:id="11724" w:name="P11724"/>
    <w:bookmarkEnd w:id="11724"/>
    <w:p>
      <w:pPr>
        <w:pStyle w:val="0"/>
        <w:spacing w:before="200" w:line-rule="auto"/>
        <w:ind w:firstLine="540"/>
        <w:jc w:val="both"/>
      </w:pPr>
      <w:r>
        <w:rPr>
          <w:sz w:val="20"/>
        </w:rPr>
        <w:t xml:space="preserve">2.3. В случае увеличения ранее доведенных Министерству лимитов бюджетных ассигнований, указанных в </w:t>
      </w:r>
      <w:hyperlink w:history="0" w:anchor="P11695" w:tooltip="1.4. Предоставление субсидии осуществляется в пределах бюджетных ассигнований, предусмотренных законом Белгородской области об областном бюджете на соответствующий финансовый год и на плановый период на цель, указанную в пункте 1.2 раздела 1 Порядка, за счет средств областного бюджета.">
        <w:r>
          <w:rPr>
            <w:sz w:val="20"/>
            <w:color w:val="0000ff"/>
          </w:rPr>
          <w:t xml:space="preserve">пункте 1.4 раздела 1</w:t>
        </w:r>
      </w:hyperlink>
      <w:r>
        <w:rPr>
          <w:sz w:val="20"/>
        </w:rPr>
        <w:t xml:space="preserve"> Порядка, для получения субсидии АНО "Зеленая инфраструктура городов" представляет в Министерство следующие документы:</w:t>
      </w:r>
    </w:p>
    <w:p>
      <w:pPr>
        <w:pStyle w:val="0"/>
        <w:spacing w:before="200" w:line-rule="auto"/>
        <w:ind w:firstLine="540"/>
        <w:jc w:val="both"/>
      </w:pPr>
      <w:r>
        <w:rPr>
          <w:sz w:val="20"/>
        </w:rPr>
        <w:t xml:space="preserve">1) </w:t>
      </w:r>
      <w:hyperlink w:history="0" w:anchor="P11814" w:tooltip="Заявление">
        <w:r>
          <w:rPr>
            <w:sz w:val="20"/>
            <w:color w:val="0000ff"/>
          </w:rPr>
          <w:t xml:space="preserve">заявление</w:t>
        </w:r>
      </w:hyperlink>
      <w:r>
        <w:rPr>
          <w:sz w:val="20"/>
        </w:rPr>
        <w:t xml:space="preserve"> о предоставлении субсидии по форме согласно приложению N 1 к Порядку;</w:t>
      </w:r>
    </w:p>
    <w:p>
      <w:pPr>
        <w:pStyle w:val="0"/>
        <w:spacing w:before="200" w:line-rule="auto"/>
        <w:ind w:firstLine="540"/>
        <w:jc w:val="both"/>
      </w:pPr>
      <w:r>
        <w:rPr>
          <w:sz w:val="20"/>
        </w:rPr>
        <w:t xml:space="preserve">2) </w:t>
      </w:r>
      <w:hyperlink w:history="0" w:anchor="P11923" w:tooltip="Справка">
        <w:r>
          <w:rPr>
            <w:sz w:val="20"/>
            <w:color w:val="0000ff"/>
          </w:rPr>
          <w:t xml:space="preserve">справку</w:t>
        </w:r>
      </w:hyperlink>
      <w:r>
        <w:rPr>
          <w:sz w:val="20"/>
        </w:rPr>
        <w:t xml:space="preserve">, подтверждающую соответствие АНО "Зеленая инфраструктура городов" на первое число месяца, предшествующего месяцу, в котором планируется подача заявления о предоставлении субсидии, указанного в </w:t>
      </w:r>
      <w:hyperlink w:history="0" w:anchor="P11716" w:tooltip="1) заявление о предоставлении субсидии по форме согласно приложению N 1 к Порядку;">
        <w:r>
          <w:rPr>
            <w:sz w:val="20"/>
            <w:color w:val="0000ff"/>
          </w:rPr>
          <w:t xml:space="preserve">подпункте 1 пункта 2.2 раздела 2</w:t>
        </w:r>
      </w:hyperlink>
      <w:r>
        <w:rPr>
          <w:sz w:val="20"/>
        </w:rPr>
        <w:t xml:space="preserve"> Порядка, требованиям, указанным в </w:t>
      </w:r>
      <w:hyperlink w:history="0" w:anchor="P11711" w:tooltip="2.1.7. Соответствия АНО &quot;Зеленая инфраструктура городов&quot; на первое число месяца, предшествующего месяцу, в котором планируется подача заявления о предоставлении субсидии, указанного в подпункте 1 пункта 2.2 раздела 2 Порядка, следующим требованиям:">
        <w:r>
          <w:rPr>
            <w:sz w:val="20"/>
            <w:color w:val="0000ff"/>
          </w:rPr>
          <w:t xml:space="preserve">подпункте 2.1.7 пункта 2.1 раздела 2</w:t>
        </w:r>
      </w:hyperlink>
      <w:r>
        <w:rPr>
          <w:sz w:val="20"/>
        </w:rPr>
        <w:t xml:space="preserve"> Порядка, по форме согласно приложению N 5 к Порядку.</w:t>
      </w:r>
    </w:p>
    <w:p>
      <w:pPr>
        <w:pStyle w:val="0"/>
        <w:spacing w:before="200" w:line-rule="auto"/>
        <w:ind w:firstLine="540"/>
        <w:jc w:val="both"/>
      </w:pPr>
      <w:r>
        <w:rPr>
          <w:sz w:val="20"/>
        </w:rPr>
        <w:t xml:space="preserve">2.4. Документы, указанные в </w:t>
      </w:r>
      <w:hyperlink w:history="0" w:anchor="P11715" w:tooltip="2.2. Для получения субсидии АНО &quot;Зеленая инфраструктура городов&quot; представляет в Министерство следующие документы:">
        <w:r>
          <w:rPr>
            <w:sz w:val="20"/>
            <w:color w:val="0000ff"/>
          </w:rPr>
          <w:t xml:space="preserve">пунктах 2.2</w:t>
        </w:r>
      </w:hyperlink>
      <w:r>
        <w:rPr>
          <w:sz w:val="20"/>
        </w:rPr>
        <w:t xml:space="preserve"> или </w:t>
      </w:r>
      <w:hyperlink w:history="0" w:anchor="P11724" w:tooltip="2.3. В случае увеличения ранее доведенных Министерству лимитов бюджетных ассигнований, указанных в пункте 1.4 раздела 1 Порядка, для получения субсидии АНО &quot;Зеленая инфраструктура городов&quot; представляет в Министерство следующие документы:">
        <w:r>
          <w:rPr>
            <w:sz w:val="20"/>
            <w:color w:val="0000ff"/>
          </w:rPr>
          <w:t xml:space="preserve">2.3 раздела 2</w:t>
        </w:r>
      </w:hyperlink>
      <w:r>
        <w:rPr>
          <w:sz w:val="20"/>
        </w:rPr>
        <w:t xml:space="preserve"> Порядка, регистрируются Министерством в течение 1 (одного) рабочего дня со дня их поступления.</w:t>
      </w:r>
    </w:p>
    <w:p>
      <w:pPr>
        <w:pStyle w:val="0"/>
        <w:spacing w:before="200" w:line-rule="auto"/>
        <w:ind w:firstLine="540"/>
        <w:jc w:val="both"/>
      </w:pPr>
      <w:r>
        <w:rPr>
          <w:sz w:val="20"/>
        </w:rPr>
        <w:t xml:space="preserve">2.5. Министерство рассматривает документы, указанные в пункте 2.2 или 2.3 раздела 2 Порядка, на соответствие требованиям, установленным Порядком, в течение 3 (трех) рабочих дней со дня их регистрации в Министерстве и принимает решение о предоставлении или об отказе в предоставлении субсидии, которое оформляется приказом Министерства.</w:t>
      </w:r>
    </w:p>
    <w:p>
      <w:pPr>
        <w:pStyle w:val="0"/>
        <w:spacing w:before="200" w:line-rule="auto"/>
        <w:ind w:firstLine="540"/>
        <w:jc w:val="both"/>
      </w:pPr>
      <w:r>
        <w:rPr>
          <w:sz w:val="20"/>
        </w:rPr>
        <w:t xml:space="preserve">О принятом решении Министерство информирует АНО "Зеленая инфраструктура городов" в письменной форме не позднее 1 (одного) рабочего дня со дня принятия решения.</w:t>
      </w:r>
    </w:p>
    <w:p>
      <w:pPr>
        <w:pStyle w:val="0"/>
        <w:spacing w:before="200" w:line-rule="auto"/>
        <w:ind w:firstLine="540"/>
        <w:jc w:val="both"/>
      </w:pPr>
      <w:r>
        <w:rPr>
          <w:sz w:val="20"/>
        </w:rPr>
        <w:t xml:space="preserve">2.6. Основаниями для отказа в предоставлении субсидии являются:</w:t>
      </w:r>
    </w:p>
    <w:p>
      <w:pPr>
        <w:pStyle w:val="0"/>
        <w:spacing w:before="200" w:line-rule="auto"/>
        <w:ind w:firstLine="540"/>
        <w:jc w:val="both"/>
      </w:pPr>
      <w:r>
        <w:rPr>
          <w:sz w:val="20"/>
        </w:rPr>
        <w:t xml:space="preserve">а) несоответствие представленных АНО "Зеленая инфраструктура городов" документов требованиям, определенным </w:t>
      </w:r>
      <w:hyperlink w:history="0" w:anchor="P11715" w:tooltip="2.2. Для получения субсидии АНО &quot;Зеленая инфраструктура городов&quot; представляет в Министерство следующие документы:">
        <w:r>
          <w:rPr>
            <w:sz w:val="20"/>
            <w:color w:val="0000ff"/>
          </w:rPr>
          <w:t xml:space="preserve">пунктами 2.2</w:t>
        </w:r>
      </w:hyperlink>
      <w:r>
        <w:rPr>
          <w:sz w:val="20"/>
        </w:rPr>
        <w:t xml:space="preserve"> или </w:t>
      </w:r>
      <w:hyperlink w:history="0" w:anchor="P11724" w:tooltip="2.3. В случае увеличения ранее доведенных Министерству лимитов бюджетных ассигнований, указанных в пункте 1.4 раздела 1 Порядка, для получения субсидии АНО &quot;Зеленая инфраструктура городов&quot; представляет в Министерство следующие документы:">
        <w:r>
          <w:rPr>
            <w:sz w:val="20"/>
            <w:color w:val="0000ff"/>
          </w:rPr>
          <w:t xml:space="preserve">2.3 раздела 2</w:t>
        </w:r>
      </w:hyperlink>
      <w:r>
        <w:rPr>
          <w:sz w:val="20"/>
        </w:rPr>
        <w:t xml:space="preserve"> Порядка, или непредставление (представление не в полном, объеме) указанных документов;</w:t>
      </w:r>
    </w:p>
    <w:p>
      <w:pPr>
        <w:pStyle w:val="0"/>
        <w:spacing w:before="200" w:line-rule="auto"/>
        <w:ind w:firstLine="540"/>
        <w:jc w:val="both"/>
      </w:pPr>
      <w:r>
        <w:rPr>
          <w:sz w:val="20"/>
        </w:rPr>
        <w:t xml:space="preserve">б) установление факта недостоверности представленной АНО "Зеленая инфраструктура городов" информации.</w:t>
      </w:r>
    </w:p>
    <w:p>
      <w:pPr>
        <w:pStyle w:val="0"/>
        <w:spacing w:before="200" w:line-rule="auto"/>
        <w:ind w:firstLine="540"/>
        <w:jc w:val="both"/>
      </w:pPr>
      <w:r>
        <w:rPr>
          <w:sz w:val="20"/>
        </w:rPr>
        <w:t xml:space="preserve">АНО "Зеленая инфраструктура городов" вправе повторно представить документы после устранения нарушений, послуживших основанием для принятия Министерством решения об отказе в предоставлении субсидии.</w:t>
      </w:r>
    </w:p>
    <w:p>
      <w:pPr>
        <w:pStyle w:val="0"/>
        <w:spacing w:before="200" w:line-rule="auto"/>
        <w:ind w:firstLine="540"/>
        <w:jc w:val="both"/>
      </w:pPr>
      <w:r>
        <w:rPr>
          <w:sz w:val="20"/>
        </w:rPr>
        <w:t xml:space="preserve">2.7. В случае принятия решения о предоставлении субсидии между Министерством и АНО "Зеленая инфраструктура городов" заключается соглашение о предоставлении субсидии (дополнительное соглашение к соглашению о предоставлении субсидии (в части предоставления субсидии).</w:t>
      </w:r>
    </w:p>
    <w:p>
      <w:pPr>
        <w:pStyle w:val="0"/>
        <w:spacing w:before="200" w:line-rule="auto"/>
        <w:ind w:firstLine="540"/>
        <w:jc w:val="both"/>
      </w:pPr>
      <w:r>
        <w:rPr>
          <w:sz w:val="20"/>
        </w:rPr>
        <w:t xml:space="preserve">2.8. Соглашение о предоставлении субсидии содержит, в том числе:</w:t>
      </w:r>
    </w:p>
    <w:p>
      <w:pPr>
        <w:pStyle w:val="0"/>
        <w:spacing w:before="200" w:line-rule="auto"/>
        <w:ind w:firstLine="540"/>
        <w:jc w:val="both"/>
      </w:pPr>
      <w:r>
        <w:rPr>
          <w:sz w:val="20"/>
        </w:rPr>
        <w:t xml:space="preserve">а) условие о согласовании новых условий соглашения или о расторжении соглашения при недостижении согласия по новым условиям в случае уменьшения Министерству ранее доведенных лимитов бюджетных ассигнований, указанных в </w:t>
      </w:r>
      <w:hyperlink w:history="0" w:anchor="P11695" w:tooltip="1.4. Предоставление субсидии осуществляется в пределах бюджетных ассигнований, предусмотренных законом Белгородской области об областном бюджете на соответствующий финансовый год и на плановый период на цель, указанную в пункте 1.2 раздела 1 Порядка, за счет средств областного бюджета.">
        <w:r>
          <w:rPr>
            <w:sz w:val="20"/>
            <w:color w:val="0000ff"/>
          </w:rPr>
          <w:t xml:space="preserve">пункте 1.4 раздела 1</w:t>
        </w:r>
      </w:hyperlink>
      <w:r>
        <w:rPr>
          <w:sz w:val="20"/>
        </w:rPr>
        <w:t xml:space="preserve"> Порядка, приводящего к невозможности предоставления субсидии в размере, определенном соглашением;</w:t>
      </w:r>
    </w:p>
    <w:p>
      <w:pPr>
        <w:pStyle w:val="0"/>
        <w:spacing w:before="200" w:line-rule="auto"/>
        <w:ind w:firstLine="540"/>
        <w:jc w:val="both"/>
      </w:pPr>
      <w:r>
        <w:rPr>
          <w:sz w:val="20"/>
        </w:rPr>
        <w:t xml:space="preserve">б) согласие АНО "Зеленая инфраструктура городов" на осуществление Министерством,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w:t>
      </w:r>
    </w:p>
    <w:p>
      <w:pPr>
        <w:pStyle w:val="0"/>
        <w:spacing w:before="200" w:line-rule="auto"/>
        <w:ind w:firstLine="540"/>
        <w:jc w:val="both"/>
      </w:pPr>
      <w:r>
        <w:rPr>
          <w:sz w:val="20"/>
        </w:rPr>
        <w:t xml:space="preserve">в) обязательство АНО "Зеленая инфраструктура городов" не приобретать за счет полученных средств из областного бюджета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pPr>
        <w:pStyle w:val="0"/>
        <w:spacing w:before="200" w:line-rule="auto"/>
        <w:ind w:firstLine="540"/>
        <w:jc w:val="both"/>
      </w:pPr>
      <w:r>
        <w:rPr>
          <w:sz w:val="20"/>
        </w:rPr>
        <w:t xml:space="preserve">г) обязательство АНО "Зеленая инфраструктура городов" о включении в договоры (соглашения), заключенные в целях исполнения обязательств по соглашению о предоставлении субсидии, положений, указанных в </w:t>
      </w:r>
      <w:hyperlink w:history="0" w:anchor="P11709" w:tooltip="а) согласие лиц, получающих средства на основании договоров (соглашений), на осуществление Министерством, Контрольно-счетной палатой Белгородской области и другими органами государственного финансового контроля проверки соблюдения целей, условий и порядка предоставления субсидии;">
        <w:r>
          <w:rPr>
            <w:sz w:val="20"/>
            <w:color w:val="0000ff"/>
          </w:rPr>
          <w:t xml:space="preserve">подпунктах "а"</w:t>
        </w:r>
      </w:hyperlink>
      <w:r>
        <w:rPr>
          <w:sz w:val="20"/>
        </w:rPr>
        <w:t xml:space="preserve"> и </w:t>
      </w:r>
      <w:hyperlink w:history="0" w:anchor="P11710" w:tooltip="б) запрет приобретения лицами, получающими средства на основании договоров (соглашений),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r>
          <w:rPr>
            <w:sz w:val="20"/>
            <w:color w:val="0000ff"/>
          </w:rPr>
          <w:t xml:space="preserve">"б" подпункта 2.1.6 пункта 2.1 раздела 2</w:t>
        </w:r>
      </w:hyperlink>
      <w:r>
        <w:rPr>
          <w:sz w:val="20"/>
        </w:rPr>
        <w:t xml:space="preserve"> Порядка.</w:t>
      </w:r>
    </w:p>
    <w:p>
      <w:pPr>
        <w:pStyle w:val="0"/>
        <w:spacing w:before="200" w:line-rule="auto"/>
        <w:ind w:firstLine="540"/>
        <w:jc w:val="both"/>
      </w:pPr>
      <w:r>
        <w:rPr>
          <w:sz w:val="20"/>
        </w:rPr>
        <w:t xml:space="preserve">2.9. Соглашение о предоставлении субсидии, дополнительное соглашение к соглашению о предоставлении субсидии (далее - соглашение), в том числе дополнительное соглашение о расторжении соглашения (при необходимости), заключается по типовой форме, установленной министерством финансов и бюджетной политики Белгородской области.</w:t>
      </w:r>
    </w:p>
    <w:p>
      <w:pPr>
        <w:pStyle w:val="0"/>
        <w:spacing w:before="200" w:line-rule="auto"/>
        <w:ind w:firstLine="540"/>
        <w:jc w:val="both"/>
      </w:pPr>
      <w:r>
        <w:rPr>
          <w:sz w:val="20"/>
        </w:rPr>
        <w:t xml:space="preserve">2.10. Размер субсидии определен законом Белгородской области об областном бюджете на соответствующий финансовый год и на плановый период.</w:t>
      </w:r>
    </w:p>
    <w:p>
      <w:pPr>
        <w:pStyle w:val="0"/>
        <w:spacing w:before="200" w:line-rule="auto"/>
        <w:ind w:firstLine="540"/>
        <w:jc w:val="both"/>
      </w:pPr>
      <w:r>
        <w:rPr>
          <w:sz w:val="20"/>
        </w:rPr>
        <w:t xml:space="preserve">2.11. Министерство в течение 3 (трех) рабочих дней со дня принятия решения о предоставлении субсидии подготавливает проект соглашения и направляет его на бумажном носителе в АНО "Зеленая инфраструктура городов" для подписания.</w:t>
      </w:r>
    </w:p>
    <w:p>
      <w:pPr>
        <w:pStyle w:val="0"/>
        <w:spacing w:before="200" w:line-rule="auto"/>
        <w:ind w:firstLine="540"/>
        <w:jc w:val="both"/>
      </w:pPr>
      <w:r>
        <w:rPr>
          <w:sz w:val="20"/>
        </w:rPr>
        <w:t xml:space="preserve">2.11.1. АНО "Зеленая инфраструктура городов" в течение 3 (трех) рабочих дней с даты получения проекта соглашения представляет в Министерство подписанное соглашение в двух экземплярах.</w:t>
      </w:r>
    </w:p>
    <w:p>
      <w:pPr>
        <w:pStyle w:val="0"/>
        <w:spacing w:before="200" w:line-rule="auto"/>
        <w:ind w:firstLine="540"/>
        <w:jc w:val="both"/>
      </w:pPr>
      <w:r>
        <w:rPr>
          <w:sz w:val="20"/>
        </w:rPr>
        <w:t xml:space="preserve">2.11.2. Министерство в срок, не превышающий 2 (двух) рабочих дней с даты получения подписанного АНО "Зеленая инфраструктура городов" соглашения, подписывает его и направляет второй экземпляр соглашения АНО "Зеленая инфраструктура городов".</w:t>
      </w:r>
    </w:p>
    <w:p>
      <w:pPr>
        <w:pStyle w:val="0"/>
        <w:spacing w:before="200" w:line-rule="auto"/>
        <w:ind w:firstLine="540"/>
        <w:jc w:val="both"/>
      </w:pPr>
      <w:r>
        <w:rPr>
          <w:sz w:val="20"/>
        </w:rPr>
        <w:t xml:space="preserve">2.12. Перечисление субсидии АНО "Зеленая инфраструктура городов" осуществляется не реже одного раза в течение финансового года на основании </w:t>
      </w:r>
      <w:hyperlink w:history="0" w:anchor="P11955" w:tooltip="Заявка">
        <w:r>
          <w:rPr>
            <w:sz w:val="20"/>
            <w:color w:val="0000ff"/>
          </w:rPr>
          <w:t xml:space="preserve">заявки</w:t>
        </w:r>
      </w:hyperlink>
      <w:r>
        <w:rPr>
          <w:sz w:val="20"/>
        </w:rPr>
        <w:t xml:space="preserve"> на перечисление субсидии по форме согласно приложению N 6 к Порядку.</w:t>
      </w:r>
    </w:p>
    <w:p>
      <w:pPr>
        <w:pStyle w:val="0"/>
        <w:jc w:val="both"/>
      </w:pPr>
      <w:r>
        <w:rPr>
          <w:sz w:val="20"/>
        </w:rPr>
        <w:t xml:space="preserve">(п. 2.12 в ред. </w:t>
      </w:r>
      <w:hyperlink w:history="0" r:id="rId267"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2.13. Министерство в срок не более 3 (трех) рабочих дней после получения документов, указанных в пункте 2.12 раздела 2 Порядка, формирует и направляет в министерство финансов и бюджетной политики Белгородской области заявку на бумажном носителе и в электронной форме и реестр для предоставления указанных средств.</w:t>
      </w:r>
    </w:p>
    <w:p>
      <w:pPr>
        <w:pStyle w:val="0"/>
        <w:spacing w:before="200" w:line-rule="auto"/>
        <w:ind w:firstLine="540"/>
        <w:jc w:val="both"/>
      </w:pPr>
      <w:r>
        <w:rPr>
          <w:sz w:val="20"/>
        </w:rPr>
        <w:t xml:space="preserve">2.14. Министерство финансов и бюджетной политики Белгородской области в течение 3 (трех) рабочих дней после получения от Министерства заявки и реестра осуществляет перечисление средств областного бюджета с лицевого счета Министерства, открытого на едином счете областного бюджета, на расчетный счет АНО "Зеленая инфраструктура городов".</w:t>
      </w:r>
    </w:p>
    <w:bookmarkStart w:id="11749" w:name="P11749"/>
    <w:bookmarkEnd w:id="11749"/>
    <w:p>
      <w:pPr>
        <w:pStyle w:val="0"/>
        <w:spacing w:before="200" w:line-rule="auto"/>
        <w:ind w:firstLine="540"/>
        <w:jc w:val="both"/>
      </w:pPr>
      <w:r>
        <w:rPr>
          <w:sz w:val="20"/>
        </w:rPr>
        <w:t xml:space="preserve">2.15. Результатами предоставления субсидии являются:</w:t>
      </w:r>
    </w:p>
    <w:p>
      <w:pPr>
        <w:pStyle w:val="0"/>
        <w:spacing w:before="200" w:line-rule="auto"/>
        <w:ind w:firstLine="540"/>
        <w:jc w:val="both"/>
      </w:pPr>
      <w:r>
        <w:rPr>
          <w:sz w:val="20"/>
        </w:rPr>
        <w:t xml:space="preserve">- уровень наполнения информационной системы зеленой инфраструктуры города;</w:t>
      </w:r>
    </w:p>
    <w:p>
      <w:pPr>
        <w:pStyle w:val="0"/>
        <w:spacing w:before="200" w:line-rule="auto"/>
        <w:ind w:firstLine="540"/>
        <w:jc w:val="both"/>
      </w:pPr>
      <w:r>
        <w:rPr>
          <w:sz w:val="20"/>
        </w:rPr>
        <w:t xml:space="preserve">- количество сформированных пробных (экспериментальных) площадок, полигонов по мониторингу зеленых насаждений (урбобиоценозов) города.</w:t>
      </w:r>
    </w:p>
    <w:p>
      <w:pPr>
        <w:pStyle w:val="0"/>
        <w:spacing w:before="200" w:line-rule="auto"/>
        <w:ind w:firstLine="540"/>
        <w:jc w:val="both"/>
      </w:pPr>
      <w:r>
        <w:rPr>
          <w:sz w:val="20"/>
        </w:rPr>
        <w:t xml:space="preserve">Дата завершения результата предоставления субсидии и конечное значение результата предоставления субсидии, соответствующее значению результата, установленному </w:t>
      </w:r>
      <w:hyperlink w:history="0" w:anchor="P1170" w:tooltip="Паспорт">
        <w:r>
          <w:rPr>
            <w:sz w:val="20"/>
            <w:color w:val="0000ff"/>
          </w:rPr>
          <w:t xml:space="preserve">подпрограммой 3</w:t>
        </w:r>
      </w:hyperlink>
      <w:r>
        <w:rPr>
          <w:sz w:val="20"/>
        </w:rPr>
        <w:t xml:space="preserve">, устанавливаются соглашением о предоставлении субсидии.</w:t>
      </w:r>
    </w:p>
    <w:p>
      <w:pPr>
        <w:pStyle w:val="0"/>
        <w:jc w:val="both"/>
      </w:pPr>
      <w:r>
        <w:rPr>
          <w:sz w:val="20"/>
        </w:rPr>
        <w:t xml:space="preserve">(п. 2.15 в ред. </w:t>
      </w:r>
      <w:hyperlink w:history="0" r:id="rId268"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rPr>
        <w:t xml:space="preserve"> Правительства Белгородской области от 06.02.2023 N 44-пп)</w:t>
      </w:r>
    </w:p>
    <w:p>
      <w:pPr>
        <w:pStyle w:val="0"/>
        <w:spacing w:before="200" w:line-rule="auto"/>
        <w:ind w:firstLine="540"/>
        <w:jc w:val="both"/>
      </w:pPr>
      <w:r>
        <w:rPr>
          <w:sz w:val="20"/>
        </w:rPr>
        <w:t xml:space="preserve">2.16. Недостижение АНО "Зеленая инфраструктура городов" значения результата предоставления субсидии в установленные сроки является основанием для расторжения Министерством соглашения в одностороннем порядке.</w:t>
      </w:r>
    </w:p>
    <w:p>
      <w:pPr>
        <w:pStyle w:val="0"/>
        <w:jc w:val="both"/>
      </w:pPr>
      <w:r>
        <w:rPr>
          <w:sz w:val="20"/>
        </w:rPr>
      </w:r>
    </w:p>
    <w:p>
      <w:pPr>
        <w:pStyle w:val="2"/>
        <w:outlineLvl w:val="2"/>
        <w:jc w:val="center"/>
      </w:pPr>
      <w:r>
        <w:rPr>
          <w:sz w:val="20"/>
        </w:rPr>
        <w:t xml:space="preserve">3. Требования к отчетности</w:t>
      </w:r>
    </w:p>
    <w:p>
      <w:pPr>
        <w:pStyle w:val="0"/>
        <w:jc w:val="both"/>
      </w:pPr>
      <w:r>
        <w:rPr>
          <w:sz w:val="20"/>
        </w:rPr>
      </w:r>
    </w:p>
    <w:p>
      <w:pPr>
        <w:pStyle w:val="0"/>
        <w:ind w:firstLine="540"/>
        <w:jc w:val="both"/>
      </w:pPr>
      <w:r>
        <w:rPr>
          <w:sz w:val="20"/>
        </w:rPr>
        <w:t xml:space="preserve">3.1. АНО "Зеленая инфраструктура городов" представляет в Министерство:</w:t>
      </w:r>
    </w:p>
    <w:p>
      <w:pPr>
        <w:pStyle w:val="0"/>
        <w:spacing w:before="200" w:line-rule="auto"/>
        <w:ind w:firstLine="540"/>
        <w:jc w:val="both"/>
      </w:pPr>
      <w:r>
        <w:rPr>
          <w:sz w:val="20"/>
        </w:rPr>
        <w:t xml:space="preserve">3.1.1. Отчет о расходах, источником финансового обеспечения которого является субсидия:</w:t>
      </w:r>
    </w:p>
    <w:p>
      <w:pPr>
        <w:pStyle w:val="0"/>
        <w:spacing w:before="200" w:line-rule="auto"/>
        <w:ind w:firstLine="540"/>
        <w:jc w:val="both"/>
      </w:pPr>
      <w:r>
        <w:rPr>
          <w:sz w:val="20"/>
        </w:rPr>
        <w:t xml:space="preserve">- по итогам I, II и III кварталов - не позднее 3-го рабочего дня месяца, следующего за отчетным кварталом;</w:t>
      </w:r>
    </w:p>
    <w:p>
      <w:pPr>
        <w:pStyle w:val="0"/>
        <w:spacing w:before="200" w:line-rule="auto"/>
        <w:ind w:firstLine="540"/>
        <w:jc w:val="both"/>
      </w:pPr>
      <w:r>
        <w:rPr>
          <w:sz w:val="20"/>
        </w:rPr>
        <w:t xml:space="preserve">- по итогам года - не позднее 14 января года, следующего за годом предоставления субсидии.</w:t>
      </w:r>
    </w:p>
    <w:p>
      <w:pPr>
        <w:pStyle w:val="0"/>
        <w:spacing w:before="200" w:line-rule="auto"/>
        <w:ind w:firstLine="540"/>
        <w:jc w:val="both"/>
      </w:pPr>
      <w:r>
        <w:rPr>
          <w:sz w:val="20"/>
        </w:rPr>
        <w:t xml:space="preserve">3.1.2. Отчет о достижении значений результата предоставления субсидии, указанного в </w:t>
      </w:r>
      <w:hyperlink w:history="0" w:anchor="P11749" w:tooltip="2.15. Результатами предоставления субсидии являются:">
        <w:r>
          <w:rPr>
            <w:sz w:val="20"/>
            <w:color w:val="0000ff"/>
          </w:rPr>
          <w:t xml:space="preserve">пункте 2.15 раздела 2</w:t>
        </w:r>
      </w:hyperlink>
      <w:r>
        <w:rPr>
          <w:sz w:val="20"/>
        </w:rPr>
        <w:t xml:space="preserve"> Порядка, в сроки:</w:t>
      </w:r>
    </w:p>
    <w:p>
      <w:pPr>
        <w:pStyle w:val="0"/>
        <w:spacing w:before="200" w:line-rule="auto"/>
        <w:ind w:firstLine="540"/>
        <w:jc w:val="both"/>
      </w:pPr>
      <w:r>
        <w:rPr>
          <w:sz w:val="20"/>
        </w:rPr>
        <w:t xml:space="preserve">- по итогам I, II и III кварталов - не позднее 3-го рабочего дня месяца, следующего за отчетным периодом;</w:t>
      </w:r>
    </w:p>
    <w:p>
      <w:pPr>
        <w:pStyle w:val="0"/>
        <w:spacing w:before="200" w:line-rule="auto"/>
        <w:ind w:firstLine="540"/>
        <w:jc w:val="both"/>
      </w:pPr>
      <w:r>
        <w:rPr>
          <w:sz w:val="20"/>
        </w:rPr>
        <w:t xml:space="preserve">- по итогам года - не позднее 14 января года, следующего за годом предоставления субсидии.</w:t>
      </w:r>
    </w:p>
    <w:p>
      <w:pPr>
        <w:pStyle w:val="0"/>
        <w:spacing w:before="200" w:line-rule="auto"/>
        <w:ind w:firstLine="540"/>
        <w:jc w:val="both"/>
      </w:pPr>
      <w:r>
        <w:rPr>
          <w:sz w:val="20"/>
        </w:rPr>
        <w:t xml:space="preserve">3.2. Отчетность представляется по формам, определенным типовой формой соглашения, установленной министерством финансов и бюджетной политики Белгородской области для соответствующего вида субсидии.</w:t>
      </w:r>
    </w:p>
    <w:p>
      <w:pPr>
        <w:pStyle w:val="0"/>
        <w:spacing w:before="200" w:line-rule="auto"/>
        <w:ind w:firstLine="540"/>
        <w:jc w:val="both"/>
      </w:pPr>
      <w:r>
        <w:rPr>
          <w:sz w:val="20"/>
        </w:rPr>
        <w:t xml:space="preserve">3.3. Министерство имеет право устанавливать в соглашении сроки и формы представления АНО "Зеленая инфраструктура городов" дополнительной отчетности.</w:t>
      </w:r>
    </w:p>
    <w:p>
      <w:pPr>
        <w:pStyle w:val="0"/>
        <w:jc w:val="both"/>
      </w:pPr>
      <w:r>
        <w:rPr>
          <w:sz w:val="20"/>
        </w:rPr>
      </w:r>
    </w:p>
    <w:p>
      <w:pPr>
        <w:pStyle w:val="2"/>
        <w:outlineLvl w:val="2"/>
        <w:jc w:val="center"/>
      </w:pPr>
      <w:r>
        <w:rPr>
          <w:sz w:val="20"/>
        </w:rPr>
        <w:t xml:space="preserve">4. Требования к осуществлению контроля за соблюдением</w:t>
      </w:r>
    </w:p>
    <w:p>
      <w:pPr>
        <w:pStyle w:val="2"/>
        <w:jc w:val="center"/>
      </w:pPr>
      <w:r>
        <w:rPr>
          <w:sz w:val="20"/>
        </w:rPr>
        <w:t xml:space="preserve">условий, целей и порядка предоставления субсидий</w:t>
      </w:r>
    </w:p>
    <w:p>
      <w:pPr>
        <w:pStyle w:val="2"/>
        <w:jc w:val="center"/>
      </w:pPr>
      <w:r>
        <w:rPr>
          <w:sz w:val="20"/>
        </w:rPr>
        <w:t xml:space="preserve">и ответственность за их нарушение</w:t>
      </w:r>
    </w:p>
    <w:p>
      <w:pPr>
        <w:pStyle w:val="0"/>
        <w:jc w:val="both"/>
      </w:pPr>
      <w:r>
        <w:rPr>
          <w:sz w:val="20"/>
        </w:rPr>
      </w:r>
    </w:p>
    <w:p>
      <w:pPr>
        <w:pStyle w:val="0"/>
        <w:ind w:firstLine="540"/>
        <w:jc w:val="both"/>
      </w:pPr>
      <w:r>
        <w:rPr>
          <w:sz w:val="20"/>
        </w:rPr>
        <w:t xml:space="preserve">4.1. Министерство, Контрольно-счетная палата Белгородской области и другие органы государственного финансового контроля осуществляют проверку соблюдения АНО "Зеленая инфраструктура городов" условий, целей и порядка предоставления субсидии в порядке, установленном действующим законодательством и соглашением.</w:t>
      </w:r>
    </w:p>
    <w:bookmarkStart w:id="11773" w:name="P11773"/>
    <w:bookmarkEnd w:id="11773"/>
    <w:p>
      <w:pPr>
        <w:pStyle w:val="0"/>
        <w:spacing w:before="200" w:line-rule="auto"/>
        <w:ind w:firstLine="540"/>
        <w:jc w:val="both"/>
      </w:pPr>
      <w:r>
        <w:rPr>
          <w:sz w:val="20"/>
        </w:rPr>
        <w:t xml:space="preserve">4.2. В случае установления Министерством или получения от Контрольно-счетной палаты Белгородской области и других органов государственного финансового контроля информации о факте (фактах) нарушения АНО "Зеленая инфраструктура городов" целей, условий и порядка предоставления субсидии, в том числе указания в документах, представленных АНО "Зеленая инфраструктура городов" в соответствии с Порядком, недостоверных сведений, субсидия и (или) средства, полученные на основании договоров (соглашений), заключенных в целях исполнения обязательств по соглашению о предоставлении субсидии, подлежат возврату в областной бюджет.</w:t>
      </w:r>
    </w:p>
    <w:p>
      <w:pPr>
        <w:pStyle w:val="0"/>
        <w:spacing w:before="200" w:line-rule="auto"/>
        <w:ind w:firstLine="540"/>
        <w:jc w:val="both"/>
      </w:pPr>
      <w:r>
        <w:rPr>
          <w:sz w:val="20"/>
        </w:rPr>
        <w:t xml:space="preserve">4.3. Министерство в течение 5 (пяти) рабочих дней со дня выявления фактов, предусмотренных </w:t>
      </w:r>
      <w:hyperlink w:history="0" w:anchor="P11773" w:tooltip="4.2. В случае установления Министерством или получения от Контрольно-счетной палаты Белгородской области и других органов государственного финансового контроля информации о факте (фактах) нарушения АНО &quot;Зеленая инфраструктура городов&quot; целей, условий и порядка предоставления субсидии, в том числе указания в документах, представленных АНО &quot;Зеленая инфраструктура городов&quot; в соответствии с Порядком, недостоверных сведений, субсидия и (или) средства, полученные на основании договоров (соглашений), заключенных...">
        <w:r>
          <w:rPr>
            <w:sz w:val="20"/>
            <w:color w:val="0000ff"/>
          </w:rPr>
          <w:t xml:space="preserve">пунктом 4.2 раздела 4</w:t>
        </w:r>
      </w:hyperlink>
      <w:r>
        <w:rPr>
          <w:sz w:val="20"/>
        </w:rPr>
        <w:t xml:space="preserve"> Порядка, направляет АНО "Зеленая инфраструктура городов" требование об обеспечении возврата субсидии и (или) средств, полученных на основании договоров (соглашений), заключенных в целях исполнения обязательств по соглашению, в областной бюджет в размере, определенном в указанном требовании.</w:t>
      </w:r>
    </w:p>
    <w:p>
      <w:pPr>
        <w:pStyle w:val="0"/>
        <w:spacing w:before="200" w:line-rule="auto"/>
        <w:ind w:firstLine="540"/>
        <w:jc w:val="both"/>
      </w:pPr>
      <w:r>
        <w:rPr>
          <w:sz w:val="20"/>
        </w:rPr>
        <w:t xml:space="preserve">Возврат субсидии и (или) средств, полученных на основании договоров (соглашений), заключенных в целях исполнения обязательств по соглашению, осуществляется АНО "Зеленая инфраструктура городов" в срок, не превышающий 20 (двадцать) рабочих дней со дня получения требования, указанного в первом абзаце пункта 4.3 раздела 4 Порядка.</w:t>
      </w:r>
    </w:p>
    <w:bookmarkStart w:id="11776" w:name="P11776"/>
    <w:bookmarkEnd w:id="11776"/>
    <w:p>
      <w:pPr>
        <w:pStyle w:val="0"/>
        <w:spacing w:before="200" w:line-rule="auto"/>
        <w:ind w:firstLine="540"/>
        <w:jc w:val="both"/>
      </w:pPr>
      <w:r>
        <w:rPr>
          <w:sz w:val="20"/>
        </w:rPr>
        <w:t xml:space="preserve">4.4. В случае если АНО "Зеленая инфраструктура городов" по состоянию на 31 декабря года предоставления субсидии допущены нарушения обязательств по достижению значений результата предоставления субсидии, установленных в соответствии с </w:t>
      </w:r>
      <w:hyperlink w:history="0" w:anchor="P11749" w:tooltip="2.15. Результатами предоставления субсидии являются:">
        <w:r>
          <w:rPr>
            <w:sz w:val="20"/>
            <w:color w:val="0000ff"/>
          </w:rPr>
          <w:t xml:space="preserve">пунктом 2.15 раздела 2</w:t>
        </w:r>
      </w:hyperlink>
      <w:r>
        <w:rPr>
          <w:sz w:val="20"/>
        </w:rPr>
        <w:t xml:space="preserve"> Порядка, размер средств, подлежащий возврату в областной бюджет, определяется по формуле:</w:t>
      </w:r>
    </w:p>
    <w:p>
      <w:pPr>
        <w:pStyle w:val="0"/>
        <w:jc w:val="both"/>
      </w:pPr>
      <w:r>
        <w:rPr>
          <w:sz w:val="20"/>
        </w:rPr>
      </w:r>
    </w:p>
    <w:p>
      <w:pPr>
        <w:pStyle w:val="0"/>
        <w:jc w:val="center"/>
      </w:pPr>
      <w:r>
        <w:rPr>
          <w:sz w:val="20"/>
        </w:rPr>
        <w:t xml:space="preserve">Vвозврата = Vсубсидии x k x 0,1,</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Vсубсидии - размер субсидии, предоставленной получателю субсидии;</w:t>
      </w:r>
    </w:p>
    <w:p>
      <w:pPr>
        <w:pStyle w:val="0"/>
        <w:spacing w:before="200" w:line-rule="auto"/>
        <w:ind w:firstLine="540"/>
        <w:jc w:val="both"/>
      </w:pPr>
      <w:r>
        <w:rPr>
          <w:sz w:val="20"/>
        </w:rPr>
        <w:t xml:space="preserve">k - коэффициент возврата субсидии.</w:t>
      </w:r>
    </w:p>
    <w:p>
      <w:pPr>
        <w:pStyle w:val="0"/>
        <w:spacing w:before="200" w:line-rule="auto"/>
        <w:ind w:firstLine="540"/>
        <w:jc w:val="both"/>
      </w:pPr>
      <w:r>
        <w:rPr>
          <w:sz w:val="20"/>
        </w:rPr>
        <w:t xml:space="preserve">Коэффициент возврата субсидии рассчитывается по формуле:</w:t>
      </w:r>
    </w:p>
    <w:p>
      <w:pPr>
        <w:pStyle w:val="0"/>
        <w:jc w:val="both"/>
      </w:pPr>
      <w:r>
        <w:rPr>
          <w:sz w:val="20"/>
        </w:rPr>
      </w:r>
    </w:p>
    <w:p>
      <w:pPr>
        <w:pStyle w:val="0"/>
        <w:ind w:firstLine="540"/>
        <w:jc w:val="both"/>
      </w:pPr>
      <w:r>
        <w:rPr>
          <w:sz w:val="20"/>
        </w:rPr>
        <w:t xml:space="preserve">k = Di / m,</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Di - индекс, отражающий уровень недостижения i-го результата предоставления субсидии;</w:t>
      </w:r>
    </w:p>
    <w:p>
      <w:pPr>
        <w:pStyle w:val="0"/>
        <w:spacing w:before="200" w:line-rule="auto"/>
        <w:ind w:firstLine="540"/>
        <w:jc w:val="both"/>
      </w:pPr>
      <w:r>
        <w:rPr>
          <w:sz w:val="20"/>
        </w:rPr>
        <w:t xml:space="preserve">m - количество результатов предоставления субсидии, по которым индекс, отражающий уровень недостижения i-го результата предоставления субсидии, имеет положительное значение.</w:t>
      </w:r>
    </w:p>
    <w:p>
      <w:pPr>
        <w:pStyle w:val="0"/>
        <w:spacing w:before="200" w:line-rule="auto"/>
        <w:ind w:firstLine="540"/>
        <w:jc w:val="both"/>
      </w:pPr>
      <w:r>
        <w:rPr>
          <w:sz w:val="20"/>
        </w:rPr>
        <w:t xml:space="preserve">При расчете коэффициента возврата субсидии используются только положительные значения индекса, отражающего уровень недостижения i-го результата предоставления субсидии.</w:t>
      </w:r>
    </w:p>
    <w:p>
      <w:pPr>
        <w:pStyle w:val="0"/>
        <w:spacing w:before="200" w:line-rule="auto"/>
        <w:ind w:firstLine="540"/>
        <w:jc w:val="both"/>
      </w:pPr>
      <w:r>
        <w:rPr>
          <w:sz w:val="20"/>
        </w:rPr>
        <w:t xml:space="preserve">Индекс, отражающий уровень недостижения i-го результата предоставления субсидии, определяется по формуле:</w:t>
      </w:r>
    </w:p>
    <w:p>
      <w:pPr>
        <w:pStyle w:val="0"/>
        <w:jc w:val="both"/>
      </w:pPr>
      <w:r>
        <w:rPr>
          <w:sz w:val="20"/>
        </w:rPr>
      </w:r>
    </w:p>
    <w:p>
      <w:pPr>
        <w:pStyle w:val="0"/>
        <w:ind w:firstLine="540"/>
        <w:jc w:val="both"/>
      </w:pPr>
      <w:r>
        <w:rPr>
          <w:sz w:val="20"/>
        </w:rPr>
        <w:t xml:space="preserve">Di = 1 - Ti / Si,</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Ti - фактически достигнутое значение i-го результата предоставления субсидии;</w:t>
      </w:r>
    </w:p>
    <w:p>
      <w:pPr>
        <w:pStyle w:val="0"/>
        <w:spacing w:before="200" w:line-rule="auto"/>
        <w:ind w:firstLine="540"/>
        <w:jc w:val="both"/>
      </w:pPr>
      <w:r>
        <w:rPr>
          <w:sz w:val="20"/>
        </w:rPr>
        <w:t xml:space="preserve">Si - плановое значение i-го результата предоставления субсидии, установленное соглашением.</w:t>
      </w:r>
    </w:p>
    <w:p>
      <w:pPr>
        <w:pStyle w:val="0"/>
        <w:spacing w:before="200" w:line-rule="auto"/>
        <w:ind w:firstLine="540"/>
        <w:jc w:val="both"/>
      </w:pPr>
      <w:r>
        <w:rPr>
          <w:sz w:val="20"/>
        </w:rPr>
        <w:t xml:space="preserve">4.5. Министерство в течение 5 (пяти) рабочих дней со дня выявления фактов, предусмотренных </w:t>
      </w:r>
      <w:hyperlink w:history="0" w:anchor="P11776" w:tooltip="4.4. В случае если АНО &quot;Зеленая инфраструктура городов&quot; по состоянию на 31 декабря года предоставления субсидии допущены нарушения обязательств по достижению значений результата предоставления субсидии, установленных в соответствии с пунктом 2.15 раздела 2 Порядка, размер средств, подлежащий возврату в областной бюджет, определяется по формуле:">
        <w:r>
          <w:rPr>
            <w:sz w:val="20"/>
            <w:color w:val="0000ff"/>
          </w:rPr>
          <w:t xml:space="preserve">пунктом 4.4 раздела 4</w:t>
        </w:r>
      </w:hyperlink>
      <w:r>
        <w:rPr>
          <w:sz w:val="20"/>
        </w:rPr>
        <w:t xml:space="preserve"> Порядка, направляет АНО "Зеленая инфраструктура городов" требование об обеспечении возврата субсидии в областной бюджет в размере, определенном в соответствии с пунктом 4.4 раздела 4 Порядка.</w:t>
      </w:r>
    </w:p>
    <w:p>
      <w:pPr>
        <w:pStyle w:val="0"/>
        <w:spacing w:before="200" w:line-rule="auto"/>
        <w:ind w:firstLine="540"/>
        <w:jc w:val="both"/>
      </w:pPr>
      <w:r>
        <w:rPr>
          <w:sz w:val="20"/>
        </w:rPr>
        <w:t xml:space="preserve">Возврат субсидии осуществляется АНО "Зеленая инфраструктура городов" в срок, не превышающий 20 (двадцать) рабочих дней со дня получения требования, указанного в первом абзаце настоящего пункта.</w:t>
      </w:r>
    </w:p>
    <w:p>
      <w:pPr>
        <w:pStyle w:val="0"/>
        <w:spacing w:before="200" w:line-rule="auto"/>
        <w:ind w:firstLine="540"/>
        <w:jc w:val="both"/>
      </w:pPr>
      <w:r>
        <w:rPr>
          <w:sz w:val="20"/>
        </w:rPr>
        <w:t xml:space="preserve">4.6. В случае невыполнения АНО "Зеленая инфраструктура городов" требования об обеспечении возврата субсидии, взыскание производится в судебном порядке в соответствии с законодательством Российской Федерации.</w:t>
      </w:r>
    </w:p>
    <w:p>
      <w:pPr>
        <w:pStyle w:val="0"/>
        <w:spacing w:before="200" w:line-rule="auto"/>
        <w:ind w:firstLine="540"/>
        <w:jc w:val="both"/>
      </w:pPr>
      <w:r>
        <w:rPr>
          <w:sz w:val="20"/>
        </w:rPr>
        <w:t xml:space="preserve">4.7. В случае наличия остатка субсидий на 1 января года, следующего за годом предоставления субсидии, в соответствии с решением о наличии потребности в направлении не использованного АНО "Зеленая инфраструктура городов" в отчетном финансовом году остатка субсидии, принятым Министерством в установленный соглашением срок по согласованию с министерством финансов и бюджетной политики Белгородской области, средства в объеме, не превышающем остатка субсидий, могут быть предоставлены АНО "Зеленая инфраструктура городов" на цель, указанную в </w:t>
      </w:r>
      <w:hyperlink w:history="0" w:anchor="P11686" w:tooltip="1.2. Цель предоставления субсидии - финансовое обеспечение затрат АНО &quot;Зеленая инфраструктура городов&quot;,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w:r>
          <w:rPr>
            <w:sz w:val="20"/>
            <w:color w:val="0000ff"/>
          </w:rPr>
          <w:t xml:space="preserve">пункте 1.2 раздела 1</w:t>
        </w:r>
      </w:hyperlink>
      <w:r>
        <w:rPr>
          <w:sz w:val="20"/>
        </w:rPr>
        <w:t xml:space="preserve"> Порядка.</w:t>
      </w:r>
    </w:p>
    <w:p>
      <w:pPr>
        <w:pStyle w:val="0"/>
        <w:spacing w:before="200" w:line-rule="auto"/>
        <w:ind w:firstLine="540"/>
        <w:jc w:val="both"/>
      </w:pPr>
      <w:r>
        <w:rPr>
          <w:sz w:val="20"/>
        </w:rPr>
        <w:t xml:space="preserve">Остаток субсидии, потребность в котором не подтверждена Министерством, подлежит возврату АНО "Зеленая инфраструктура городов" в областной бюджет в установленный действующим законодательством и соглашением срок.</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1</w:t>
      </w:r>
    </w:p>
    <w:p>
      <w:pPr>
        <w:pStyle w:val="0"/>
        <w:jc w:val="right"/>
      </w:pPr>
      <w:r>
        <w:rPr>
          <w:sz w:val="20"/>
        </w:rPr>
        <w:t xml:space="preserve">к Порядку предоставления субсидии</w:t>
      </w:r>
    </w:p>
    <w:p>
      <w:pPr>
        <w:pStyle w:val="0"/>
        <w:jc w:val="right"/>
      </w:pPr>
      <w:r>
        <w:rPr>
          <w:sz w:val="20"/>
        </w:rPr>
        <w:t xml:space="preserve">из областного бюджета автономной</w:t>
      </w:r>
    </w:p>
    <w:p>
      <w:pPr>
        <w:pStyle w:val="0"/>
        <w:jc w:val="right"/>
      </w:pPr>
      <w:r>
        <w:rPr>
          <w:sz w:val="20"/>
        </w:rPr>
        <w:t xml:space="preserve">некоммерческой организации</w:t>
      </w:r>
    </w:p>
    <w:p>
      <w:pPr>
        <w:pStyle w:val="0"/>
        <w:jc w:val="right"/>
      </w:pPr>
      <w:r>
        <w:rPr>
          <w:sz w:val="20"/>
        </w:rPr>
        <w:t xml:space="preserve">"Зеленая инфраструктура городов"</w:t>
      </w:r>
    </w:p>
    <w:p>
      <w:pPr>
        <w:pStyle w:val="0"/>
        <w:jc w:val="both"/>
      </w:pPr>
      <w:r>
        <w:rPr>
          <w:sz w:val="20"/>
        </w:rPr>
      </w:r>
    </w:p>
    <w:tbl>
      <w:tblPr>
        <w:tblInd w:w="0" w:type="dxa"/>
        <w:tblLayout w:type="fixed"/>
        <w:tblCellMar>
          <w:top w:w="102" w:type="dxa"/>
          <w:left w:w="62" w:type="dxa"/>
          <w:bottom w:w="102" w:type="dxa"/>
          <w:right w:w="62" w:type="dxa"/>
        </w:tblCellMar>
      </w:tblPr>
      <w:tblGrid>
        <w:gridCol w:w="1949"/>
        <w:gridCol w:w="2234"/>
        <w:gridCol w:w="4888"/>
      </w:tblGrid>
      <w:tr>
        <w:tc>
          <w:tcPr>
            <w:gridSpan w:val="3"/>
            <w:tcW w:w="9071" w:type="dxa"/>
            <w:tcBorders>
              <w:top w:val="nil"/>
              <w:left w:val="nil"/>
              <w:bottom w:val="nil"/>
              <w:right w:val="nil"/>
            </w:tcBorders>
          </w:tcPr>
          <w:bookmarkStart w:id="11814" w:name="P11814"/>
          <w:bookmarkEnd w:id="11814"/>
          <w:p>
            <w:pPr>
              <w:pStyle w:val="0"/>
              <w:jc w:val="center"/>
            </w:pPr>
            <w:r>
              <w:rPr>
                <w:sz w:val="20"/>
              </w:rPr>
              <w:t xml:space="preserve">Заявление</w:t>
            </w:r>
          </w:p>
          <w:p>
            <w:pPr>
              <w:pStyle w:val="0"/>
              <w:jc w:val="center"/>
            </w:pPr>
            <w:r>
              <w:rPr>
                <w:sz w:val="20"/>
              </w:rPr>
              <w:t xml:space="preserve">о предоставлении субсидии</w:t>
            </w:r>
          </w:p>
        </w:tc>
      </w:tr>
      <w:tr>
        <w:tc>
          <w:tcPr>
            <w:gridSpan w:val="3"/>
            <w:tcW w:w="9071" w:type="dxa"/>
            <w:tcBorders>
              <w:top w:val="nil"/>
              <w:left w:val="nil"/>
              <w:bottom w:val="nil"/>
              <w:right w:val="nil"/>
            </w:tcBorders>
          </w:tcPr>
          <w:p>
            <w:pPr>
              <w:pStyle w:val="0"/>
              <w:ind w:firstLine="283"/>
              <w:jc w:val="both"/>
            </w:pPr>
            <w:r>
              <w:rPr>
                <w:sz w:val="20"/>
              </w:rPr>
              <w:t xml:space="preserve">Прошу предоставить автономной некоммерческой организации "Зеленая инфраструктура городов" (далее - АНО "Зеленая инфраструктура городов") в 20__ году субсидию из областного бюджета на финансовое обеспечение затрат АНО "Зеленая инфраструктура городов",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в рамках реализации основного мероприятия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в объеме ____________________________________.</w:t>
            </w:r>
          </w:p>
          <w:p>
            <w:pPr>
              <w:pStyle w:val="0"/>
              <w:ind w:left="3113"/>
            </w:pPr>
            <w:r>
              <w:rPr>
                <w:sz w:val="20"/>
              </w:rPr>
              <w:t xml:space="preserve">(указать размер запрашиваемой субсидии)</w:t>
            </w:r>
          </w:p>
          <w:p>
            <w:pPr>
              <w:pStyle w:val="0"/>
            </w:pPr>
            <w:r>
              <w:rPr>
                <w:sz w:val="20"/>
              </w:rPr>
            </w:r>
          </w:p>
          <w:p>
            <w:pPr>
              <w:pStyle w:val="0"/>
              <w:ind w:firstLine="283"/>
              <w:jc w:val="both"/>
            </w:pPr>
            <w:r>
              <w:rPr>
                <w:sz w:val="20"/>
              </w:rPr>
              <w:t xml:space="preserve">Сведения об АНО "Зеленая инфраструктура городов":</w:t>
            </w:r>
          </w:p>
          <w:p>
            <w:pPr>
              <w:pStyle w:val="0"/>
              <w:ind w:firstLine="283"/>
              <w:jc w:val="both"/>
            </w:pPr>
            <w:r>
              <w:rPr>
                <w:sz w:val="20"/>
              </w:rPr>
              <w:t xml:space="preserve">1. Полное наименование в соответствии с учредительными документами.</w:t>
            </w:r>
          </w:p>
          <w:p>
            <w:pPr>
              <w:pStyle w:val="0"/>
              <w:ind w:firstLine="283"/>
              <w:jc w:val="both"/>
            </w:pPr>
            <w:r>
              <w:rPr>
                <w:sz w:val="20"/>
              </w:rPr>
              <w:t xml:space="preserve">2. Идентификационный номер налогоплательщика (ИНН).</w:t>
            </w:r>
          </w:p>
          <w:p>
            <w:pPr>
              <w:pStyle w:val="0"/>
              <w:ind w:firstLine="283"/>
              <w:jc w:val="both"/>
            </w:pPr>
            <w:r>
              <w:rPr>
                <w:sz w:val="20"/>
              </w:rPr>
              <w:t xml:space="preserve">3. Код причины постановки на учет (КПП).</w:t>
            </w:r>
          </w:p>
          <w:p>
            <w:pPr>
              <w:pStyle w:val="0"/>
              <w:ind w:firstLine="283"/>
              <w:jc w:val="both"/>
            </w:pPr>
            <w:r>
              <w:rPr>
                <w:sz w:val="20"/>
              </w:rPr>
              <w:t xml:space="preserve">4. Основной государственный регистрационный номер (ОГРН).</w:t>
            </w:r>
          </w:p>
          <w:p>
            <w:pPr>
              <w:pStyle w:val="0"/>
              <w:ind w:firstLine="283"/>
              <w:jc w:val="both"/>
            </w:pPr>
            <w:r>
              <w:rPr>
                <w:sz w:val="20"/>
              </w:rPr>
              <w:t xml:space="preserve">5. Дата государственной регистрации.</w:t>
            </w:r>
          </w:p>
          <w:p>
            <w:pPr>
              <w:pStyle w:val="0"/>
              <w:ind w:firstLine="283"/>
              <w:jc w:val="both"/>
            </w:pPr>
            <w:r>
              <w:rPr>
                <w:sz w:val="20"/>
              </w:rPr>
              <w:t xml:space="preserve">6. Реквизиты для перечисления субсидии.</w:t>
            </w:r>
          </w:p>
          <w:p>
            <w:pPr>
              <w:pStyle w:val="0"/>
            </w:pPr>
            <w:r>
              <w:rPr>
                <w:sz w:val="20"/>
              </w:rPr>
            </w:r>
          </w:p>
          <w:p>
            <w:pPr>
              <w:pStyle w:val="0"/>
              <w:ind w:firstLine="283"/>
              <w:jc w:val="both"/>
            </w:pPr>
            <w:r>
              <w:rPr>
                <w:sz w:val="20"/>
              </w:rPr>
              <w:t xml:space="preserve">Достоверность представленной информации гарантирую.</w:t>
            </w:r>
          </w:p>
          <w:p>
            <w:pPr>
              <w:pStyle w:val="0"/>
              <w:ind w:firstLine="283"/>
              <w:jc w:val="both"/>
            </w:pPr>
            <w:r>
              <w:rPr>
                <w:sz w:val="20"/>
              </w:rPr>
              <w:t xml:space="preserve">К заявлению прилагаются следующие документы:</w:t>
            </w:r>
          </w:p>
        </w:tc>
      </w:tr>
      <w:tr>
        <w:tc>
          <w:tcPr>
            <w:gridSpan w:val="3"/>
            <w:tcW w:w="9071" w:type="dxa"/>
            <w:tcBorders>
              <w:top w:val="nil"/>
              <w:left w:val="nil"/>
              <w:bottom w:val="single" w:sz="4"/>
              <w:right w:val="nil"/>
            </w:tcBorders>
          </w:tcPr>
          <w:p>
            <w:pPr>
              <w:pStyle w:val="0"/>
            </w:pPr>
            <w:r>
              <w:rPr>
                <w:sz w:val="20"/>
              </w:rPr>
            </w:r>
          </w:p>
        </w:tc>
      </w:tr>
      <w:tr>
        <w:tc>
          <w:tcPr>
            <w:gridSpan w:val="3"/>
            <w:tcW w:w="9071" w:type="dxa"/>
            <w:vAlign w:val="bottom"/>
            <w:tcBorders>
              <w:top w:val="single" w:sz="4"/>
              <w:left w:val="nil"/>
              <w:bottom w:val="nil"/>
              <w:right w:val="nil"/>
            </w:tcBorders>
          </w:tcPr>
          <w:p>
            <w:pPr>
              <w:pStyle w:val="0"/>
            </w:pPr>
            <w:r>
              <w:rPr>
                <w:sz w:val="20"/>
              </w:rPr>
            </w:r>
          </w:p>
        </w:tc>
      </w:tr>
      <w:tr>
        <w:tc>
          <w:tcPr>
            <w:tcW w:w="1949" w:type="dxa"/>
            <w:tcBorders>
              <w:top w:val="nil"/>
              <w:left w:val="nil"/>
              <w:bottom w:val="nil"/>
              <w:right w:val="nil"/>
            </w:tcBorders>
          </w:tcPr>
          <w:p>
            <w:pPr>
              <w:pStyle w:val="0"/>
            </w:pPr>
            <w:r>
              <w:rPr>
                <w:sz w:val="20"/>
              </w:rPr>
              <w:t xml:space="preserve">Руководитель</w:t>
            </w:r>
          </w:p>
        </w:tc>
        <w:tc>
          <w:tcPr>
            <w:tcW w:w="2234" w:type="dxa"/>
            <w:tcBorders>
              <w:top w:val="nil"/>
              <w:left w:val="nil"/>
              <w:bottom w:val="nil"/>
              <w:right w:val="nil"/>
            </w:tcBorders>
          </w:tcPr>
          <w:p>
            <w:pPr>
              <w:pStyle w:val="0"/>
              <w:jc w:val="both"/>
            </w:pPr>
            <w:r>
              <w:rPr>
                <w:sz w:val="20"/>
              </w:rPr>
              <w:t xml:space="preserve">________________</w:t>
            </w:r>
          </w:p>
          <w:p>
            <w:pPr>
              <w:pStyle w:val="0"/>
              <w:jc w:val="center"/>
            </w:pPr>
            <w:r>
              <w:rPr>
                <w:sz w:val="20"/>
              </w:rPr>
              <w:t xml:space="preserve">(подпись)</w:t>
            </w:r>
          </w:p>
        </w:tc>
        <w:tc>
          <w:tcPr>
            <w:tcW w:w="4888" w:type="dxa"/>
            <w:tcBorders>
              <w:top w:val="nil"/>
              <w:left w:val="nil"/>
              <w:bottom w:val="nil"/>
              <w:right w:val="nil"/>
            </w:tcBorders>
          </w:tcPr>
          <w:p>
            <w:pPr>
              <w:pStyle w:val="0"/>
              <w:jc w:val="both"/>
            </w:pPr>
            <w:r>
              <w:rPr>
                <w:sz w:val="20"/>
              </w:rPr>
              <w:t xml:space="preserve">_______________________________________</w:t>
            </w:r>
          </w:p>
          <w:p>
            <w:pPr>
              <w:pStyle w:val="0"/>
              <w:jc w:val="center"/>
            </w:pPr>
            <w:r>
              <w:rPr>
                <w:sz w:val="20"/>
              </w:rPr>
              <w:t xml:space="preserve">(расшифровка подписи)</w:t>
            </w:r>
          </w:p>
        </w:tc>
      </w:tr>
      <w:tr>
        <w:tc>
          <w:tcPr>
            <w:gridSpan w:val="3"/>
            <w:tcW w:w="9071" w:type="dxa"/>
            <w:tcBorders>
              <w:top w:val="nil"/>
              <w:left w:val="nil"/>
              <w:bottom w:val="nil"/>
              <w:right w:val="nil"/>
            </w:tcBorders>
          </w:tcPr>
          <w:p>
            <w:pPr>
              <w:pStyle w:val="0"/>
              <w:ind w:left="1415"/>
            </w:pPr>
            <w:r>
              <w:rPr>
                <w:sz w:val="20"/>
              </w:rPr>
              <w:t xml:space="preserve">М.П.</w:t>
            </w:r>
          </w:p>
        </w:tc>
      </w:tr>
      <w:tr>
        <w:tc>
          <w:tcPr>
            <w:gridSpan w:val="3"/>
            <w:tcW w:w="9071" w:type="dxa"/>
            <w:vAlign w:val="center"/>
            <w:tcBorders>
              <w:top w:val="nil"/>
              <w:left w:val="nil"/>
              <w:bottom w:val="nil"/>
              <w:right w:val="nil"/>
            </w:tcBorders>
          </w:tcPr>
          <w:p>
            <w:pPr>
              <w:pStyle w:val="0"/>
            </w:pPr>
            <w:r>
              <w:rPr>
                <w:sz w:val="20"/>
              </w:rPr>
              <w:t xml:space="preserve">Исполнитель __________________________ Телефон ___________________________</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2</w:t>
      </w:r>
    </w:p>
    <w:p>
      <w:pPr>
        <w:pStyle w:val="0"/>
        <w:jc w:val="right"/>
      </w:pPr>
      <w:r>
        <w:rPr>
          <w:sz w:val="20"/>
        </w:rPr>
        <w:t xml:space="preserve">к Порядку предоставления субсидии</w:t>
      </w:r>
    </w:p>
    <w:p>
      <w:pPr>
        <w:pStyle w:val="0"/>
        <w:jc w:val="right"/>
      </w:pPr>
      <w:r>
        <w:rPr>
          <w:sz w:val="20"/>
        </w:rPr>
        <w:t xml:space="preserve">из областного бюджета автономной</w:t>
      </w:r>
    </w:p>
    <w:p>
      <w:pPr>
        <w:pStyle w:val="0"/>
        <w:jc w:val="right"/>
      </w:pPr>
      <w:r>
        <w:rPr>
          <w:sz w:val="20"/>
        </w:rPr>
        <w:t xml:space="preserve">некоммерческой организации</w:t>
      </w:r>
    </w:p>
    <w:p>
      <w:pPr>
        <w:pStyle w:val="0"/>
        <w:jc w:val="right"/>
      </w:pPr>
      <w:r>
        <w:rPr>
          <w:sz w:val="20"/>
        </w:rPr>
        <w:t xml:space="preserve">"Зеленая инфраструктура городов"</w:t>
      </w:r>
    </w:p>
    <w:p>
      <w:pPr>
        <w:pStyle w:val="0"/>
        <w:jc w:val="both"/>
      </w:pPr>
      <w:r>
        <w:rPr>
          <w:sz w:val="20"/>
        </w:rPr>
      </w:r>
    </w:p>
    <w:tbl>
      <w:tblPr>
        <w:tblInd w:w="0" w:type="dxa"/>
        <w:tblLayout w:type="fixed"/>
        <w:tblCellMar>
          <w:top w:w="102" w:type="dxa"/>
          <w:left w:w="62" w:type="dxa"/>
          <w:bottom w:w="102" w:type="dxa"/>
          <w:right w:w="62" w:type="dxa"/>
        </w:tblCellMar>
      </w:tblPr>
      <w:tblGrid>
        <w:gridCol w:w="3253"/>
        <w:gridCol w:w="2219"/>
        <w:gridCol w:w="3599"/>
      </w:tblGrid>
      <w:tr>
        <w:tc>
          <w:tcPr>
            <w:gridSpan w:val="3"/>
            <w:tcW w:w="9071" w:type="dxa"/>
            <w:tcBorders>
              <w:top w:val="nil"/>
              <w:left w:val="nil"/>
              <w:bottom w:val="nil"/>
              <w:right w:val="nil"/>
            </w:tcBorders>
          </w:tcPr>
          <w:bookmarkStart w:id="11849" w:name="P11849"/>
          <w:bookmarkEnd w:id="11849"/>
          <w:p>
            <w:pPr>
              <w:pStyle w:val="0"/>
              <w:jc w:val="center"/>
            </w:pPr>
            <w:r>
              <w:rPr>
                <w:sz w:val="20"/>
              </w:rPr>
              <w:t xml:space="preserve">Согласие</w:t>
            </w:r>
          </w:p>
        </w:tc>
      </w:tr>
      <w:tr>
        <w:tc>
          <w:tcPr>
            <w:gridSpan w:val="3"/>
            <w:tcW w:w="9071" w:type="dxa"/>
            <w:tcBorders>
              <w:top w:val="nil"/>
              <w:left w:val="nil"/>
              <w:bottom w:val="nil"/>
              <w:right w:val="nil"/>
            </w:tcBorders>
          </w:tcPr>
          <w:p>
            <w:pPr>
              <w:pStyle w:val="0"/>
            </w:pPr>
            <w:r>
              <w:rPr>
                <w:sz w:val="20"/>
              </w:rPr>
            </w:r>
          </w:p>
        </w:tc>
      </w:tr>
      <w:tr>
        <w:tc>
          <w:tcPr>
            <w:gridSpan w:val="3"/>
            <w:tcW w:w="9071" w:type="dxa"/>
            <w:vAlign w:val="center"/>
            <w:tcBorders>
              <w:top w:val="nil"/>
              <w:left w:val="nil"/>
              <w:bottom w:val="nil"/>
              <w:right w:val="nil"/>
            </w:tcBorders>
          </w:tcPr>
          <w:p>
            <w:pPr>
              <w:pStyle w:val="0"/>
              <w:ind w:firstLine="283"/>
              <w:jc w:val="both"/>
            </w:pPr>
            <w:r>
              <w:rPr>
                <w:sz w:val="20"/>
              </w:rPr>
              <w:t xml:space="preserve">Автономная некоммерческая организация "Зеленая инфраструктура городов" дает согласие на осуществление министерством экономического развития и промышленности Белгородской области, Контрольно-счетной палатой Белгородской области и другими органами государственного финансового контроля проверок соблюдения целей, условий и порядка предоставления субсидии.</w:t>
            </w:r>
          </w:p>
        </w:tc>
      </w:tr>
      <w:tr>
        <w:tc>
          <w:tcPr>
            <w:gridSpan w:val="3"/>
            <w:tcW w:w="9071" w:type="dxa"/>
            <w:tcBorders>
              <w:top w:val="nil"/>
              <w:left w:val="nil"/>
              <w:bottom w:val="nil"/>
              <w:right w:val="nil"/>
            </w:tcBorders>
          </w:tcPr>
          <w:p>
            <w:pPr>
              <w:pStyle w:val="0"/>
            </w:pPr>
            <w:r>
              <w:rPr>
                <w:sz w:val="20"/>
              </w:rPr>
            </w:r>
          </w:p>
        </w:tc>
      </w:tr>
      <w:tr>
        <w:tc>
          <w:tcPr>
            <w:tcW w:w="3253" w:type="dxa"/>
            <w:vAlign w:val="bottom"/>
            <w:tcBorders>
              <w:top w:val="nil"/>
              <w:left w:val="nil"/>
              <w:bottom w:val="nil"/>
              <w:right w:val="nil"/>
            </w:tcBorders>
          </w:tcPr>
          <w:p>
            <w:pPr>
              <w:pStyle w:val="0"/>
            </w:pPr>
            <w:r>
              <w:rPr>
                <w:sz w:val="20"/>
              </w:rPr>
              <w:t xml:space="preserve">_________________________</w:t>
            </w:r>
          </w:p>
          <w:p>
            <w:pPr>
              <w:pStyle w:val="0"/>
              <w:jc w:val="center"/>
            </w:pPr>
            <w:r>
              <w:rPr>
                <w:sz w:val="20"/>
              </w:rPr>
              <w:t xml:space="preserve">(должность руководителя)</w:t>
            </w:r>
          </w:p>
        </w:tc>
        <w:tc>
          <w:tcPr>
            <w:tcW w:w="2219"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3599" w:type="dxa"/>
            <w:tcBorders>
              <w:top w:val="nil"/>
              <w:left w:val="nil"/>
              <w:bottom w:val="nil"/>
              <w:right w:val="nil"/>
            </w:tcBorders>
          </w:tcPr>
          <w:p>
            <w:pPr>
              <w:pStyle w:val="0"/>
              <w:jc w:val="center"/>
            </w:pPr>
            <w:r>
              <w:rPr>
                <w:sz w:val="20"/>
              </w:rPr>
              <w:t xml:space="preserve">________________________</w:t>
            </w:r>
          </w:p>
          <w:p>
            <w:pPr>
              <w:pStyle w:val="0"/>
              <w:jc w:val="center"/>
            </w:pPr>
            <w:r>
              <w:rPr>
                <w:sz w:val="20"/>
              </w:rPr>
              <w:t xml:space="preserve">(Ф.И.О.)</w:t>
            </w:r>
          </w:p>
        </w:tc>
      </w:tr>
      <w:tr>
        <w:tc>
          <w:tcPr>
            <w:gridSpan w:val="3"/>
            <w:tcW w:w="9071" w:type="dxa"/>
            <w:vAlign w:val="center"/>
            <w:tcBorders>
              <w:top w:val="nil"/>
              <w:left w:val="nil"/>
              <w:bottom w:val="nil"/>
              <w:right w:val="nil"/>
            </w:tcBorders>
          </w:tcPr>
          <w:p>
            <w:pPr>
              <w:pStyle w:val="0"/>
              <w:ind w:left="2830"/>
            </w:pPr>
            <w:r>
              <w:rPr>
                <w:sz w:val="20"/>
              </w:rPr>
              <w:t xml:space="preserve">М.П.</w:t>
            </w:r>
          </w:p>
        </w:tc>
      </w:tr>
      <w:tr>
        <w:tc>
          <w:tcPr>
            <w:gridSpan w:val="3"/>
            <w:tcW w:w="9071" w:type="dxa"/>
            <w:tcBorders>
              <w:top w:val="nil"/>
              <w:left w:val="nil"/>
              <w:bottom w:val="nil"/>
              <w:right w:val="nil"/>
            </w:tcBorders>
          </w:tcPr>
          <w:p>
            <w:pPr>
              <w:pStyle w:val="0"/>
              <w:jc w:val="right"/>
            </w:pPr>
            <w:r>
              <w:rPr>
                <w:sz w:val="20"/>
              </w:rPr>
              <w:t xml:space="preserve">"__" __________ 20__ года</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3</w:t>
      </w:r>
    </w:p>
    <w:p>
      <w:pPr>
        <w:pStyle w:val="0"/>
        <w:jc w:val="right"/>
      </w:pPr>
      <w:r>
        <w:rPr>
          <w:sz w:val="20"/>
        </w:rPr>
        <w:t xml:space="preserve">к Порядку предоставления субсидии</w:t>
      </w:r>
    </w:p>
    <w:p>
      <w:pPr>
        <w:pStyle w:val="0"/>
        <w:jc w:val="right"/>
      </w:pPr>
      <w:r>
        <w:rPr>
          <w:sz w:val="20"/>
        </w:rPr>
        <w:t xml:space="preserve">из областного бюджета автономной</w:t>
      </w:r>
    </w:p>
    <w:p>
      <w:pPr>
        <w:pStyle w:val="0"/>
        <w:jc w:val="right"/>
      </w:pPr>
      <w:r>
        <w:rPr>
          <w:sz w:val="20"/>
        </w:rPr>
        <w:t xml:space="preserve">некоммерческой организации</w:t>
      </w:r>
    </w:p>
    <w:p>
      <w:pPr>
        <w:pStyle w:val="0"/>
        <w:jc w:val="right"/>
      </w:pPr>
      <w:r>
        <w:rPr>
          <w:sz w:val="20"/>
        </w:rPr>
        <w:t xml:space="preserve">"Зеленая инфраструктура городов"</w:t>
      </w:r>
    </w:p>
    <w:p>
      <w:pPr>
        <w:pStyle w:val="0"/>
        <w:jc w:val="both"/>
      </w:pPr>
      <w:r>
        <w:rPr>
          <w:sz w:val="20"/>
        </w:rPr>
      </w:r>
    </w:p>
    <w:tbl>
      <w:tblPr>
        <w:tblInd w:w="0" w:type="dxa"/>
        <w:tblLayout w:type="fixed"/>
        <w:tblCellMar>
          <w:top w:w="102" w:type="dxa"/>
          <w:left w:w="62" w:type="dxa"/>
          <w:bottom w:w="102" w:type="dxa"/>
          <w:right w:w="62" w:type="dxa"/>
        </w:tblCellMar>
      </w:tblPr>
      <w:tblGrid>
        <w:gridCol w:w="3253"/>
        <w:gridCol w:w="2219"/>
        <w:gridCol w:w="3599"/>
      </w:tblGrid>
      <w:tr>
        <w:tc>
          <w:tcPr>
            <w:gridSpan w:val="3"/>
            <w:tcW w:w="9071" w:type="dxa"/>
            <w:tcBorders>
              <w:top w:val="nil"/>
              <w:left w:val="nil"/>
              <w:bottom w:val="nil"/>
              <w:right w:val="nil"/>
            </w:tcBorders>
          </w:tcPr>
          <w:bookmarkStart w:id="11872" w:name="P11872"/>
          <w:bookmarkEnd w:id="11872"/>
          <w:p>
            <w:pPr>
              <w:pStyle w:val="0"/>
              <w:jc w:val="center"/>
            </w:pPr>
            <w:r>
              <w:rPr>
                <w:sz w:val="20"/>
              </w:rPr>
              <w:t xml:space="preserve">Обязательство</w:t>
            </w:r>
          </w:p>
        </w:tc>
      </w:tr>
      <w:tr>
        <w:tc>
          <w:tcPr>
            <w:gridSpan w:val="3"/>
            <w:tcW w:w="9071" w:type="dxa"/>
            <w:tcBorders>
              <w:top w:val="nil"/>
              <w:left w:val="nil"/>
              <w:bottom w:val="nil"/>
              <w:right w:val="nil"/>
            </w:tcBorders>
          </w:tcPr>
          <w:p>
            <w:pPr>
              <w:pStyle w:val="0"/>
            </w:pPr>
            <w:r>
              <w:rPr>
                <w:sz w:val="20"/>
              </w:rPr>
            </w:r>
          </w:p>
        </w:tc>
      </w:tr>
      <w:tr>
        <w:tc>
          <w:tcPr>
            <w:gridSpan w:val="3"/>
            <w:tcW w:w="9071" w:type="dxa"/>
            <w:vAlign w:val="center"/>
            <w:tcBorders>
              <w:top w:val="nil"/>
              <w:left w:val="nil"/>
              <w:bottom w:val="nil"/>
              <w:right w:val="nil"/>
            </w:tcBorders>
          </w:tcPr>
          <w:p>
            <w:pPr>
              <w:pStyle w:val="0"/>
              <w:ind w:firstLine="283"/>
              <w:jc w:val="both"/>
            </w:pPr>
            <w:r>
              <w:rPr>
                <w:sz w:val="20"/>
              </w:rPr>
              <w:t xml:space="preserve">Автономная некоммерческая организация "Зеленая инфраструктура городов" обязуется не приобретать за счет полученных из областного бюджета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tc>
      </w:tr>
      <w:tr>
        <w:tc>
          <w:tcPr>
            <w:gridSpan w:val="3"/>
            <w:tcW w:w="9071" w:type="dxa"/>
            <w:tcBorders>
              <w:top w:val="nil"/>
              <w:left w:val="nil"/>
              <w:bottom w:val="nil"/>
              <w:right w:val="nil"/>
            </w:tcBorders>
          </w:tcPr>
          <w:p>
            <w:pPr>
              <w:pStyle w:val="0"/>
            </w:pPr>
            <w:r>
              <w:rPr>
                <w:sz w:val="20"/>
              </w:rPr>
            </w:r>
          </w:p>
        </w:tc>
      </w:tr>
      <w:tr>
        <w:tc>
          <w:tcPr>
            <w:tcW w:w="3253" w:type="dxa"/>
            <w:vAlign w:val="bottom"/>
            <w:tcBorders>
              <w:top w:val="nil"/>
              <w:left w:val="nil"/>
              <w:bottom w:val="nil"/>
              <w:right w:val="nil"/>
            </w:tcBorders>
          </w:tcPr>
          <w:p>
            <w:pPr>
              <w:pStyle w:val="0"/>
            </w:pPr>
            <w:r>
              <w:rPr>
                <w:sz w:val="20"/>
              </w:rPr>
              <w:t xml:space="preserve">_________________________</w:t>
            </w:r>
          </w:p>
          <w:p>
            <w:pPr>
              <w:pStyle w:val="0"/>
              <w:jc w:val="center"/>
            </w:pPr>
            <w:r>
              <w:rPr>
                <w:sz w:val="20"/>
              </w:rPr>
              <w:t xml:space="preserve">(должность руководителя)</w:t>
            </w:r>
          </w:p>
        </w:tc>
        <w:tc>
          <w:tcPr>
            <w:tcW w:w="2219"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3599" w:type="dxa"/>
            <w:tcBorders>
              <w:top w:val="nil"/>
              <w:left w:val="nil"/>
              <w:bottom w:val="nil"/>
              <w:right w:val="nil"/>
            </w:tcBorders>
          </w:tcPr>
          <w:p>
            <w:pPr>
              <w:pStyle w:val="0"/>
              <w:jc w:val="center"/>
            </w:pPr>
            <w:r>
              <w:rPr>
                <w:sz w:val="20"/>
              </w:rPr>
              <w:t xml:space="preserve">________________________</w:t>
            </w:r>
          </w:p>
          <w:p>
            <w:pPr>
              <w:pStyle w:val="0"/>
              <w:jc w:val="center"/>
            </w:pPr>
            <w:r>
              <w:rPr>
                <w:sz w:val="20"/>
              </w:rPr>
              <w:t xml:space="preserve">(Ф.И.О.)</w:t>
            </w:r>
          </w:p>
        </w:tc>
      </w:tr>
      <w:tr>
        <w:tc>
          <w:tcPr>
            <w:gridSpan w:val="3"/>
            <w:tcW w:w="9071" w:type="dxa"/>
            <w:vAlign w:val="center"/>
            <w:tcBorders>
              <w:top w:val="nil"/>
              <w:left w:val="nil"/>
              <w:bottom w:val="nil"/>
              <w:right w:val="nil"/>
            </w:tcBorders>
          </w:tcPr>
          <w:p>
            <w:pPr>
              <w:pStyle w:val="0"/>
              <w:ind w:left="2830"/>
            </w:pPr>
            <w:r>
              <w:rPr>
                <w:sz w:val="20"/>
              </w:rPr>
              <w:t xml:space="preserve">М.П.</w:t>
            </w:r>
          </w:p>
        </w:tc>
      </w:tr>
      <w:tr>
        <w:tc>
          <w:tcPr>
            <w:gridSpan w:val="3"/>
            <w:tcW w:w="9071" w:type="dxa"/>
            <w:tcBorders>
              <w:top w:val="nil"/>
              <w:left w:val="nil"/>
              <w:bottom w:val="nil"/>
              <w:right w:val="nil"/>
            </w:tcBorders>
          </w:tcPr>
          <w:p>
            <w:pPr>
              <w:pStyle w:val="0"/>
              <w:jc w:val="right"/>
            </w:pPr>
            <w:r>
              <w:rPr>
                <w:sz w:val="20"/>
              </w:rPr>
              <w:t xml:space="preserve">"__" __________ 20__ года</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4</w:t>
      </w:r>
    </w:p>
    <w:p>
      <w:pPr>
        <w:pStyle w:val="0"/>
        <w:jc w:val="right"/>
      </w:pPr>
      <w:r>
        <w:rPr>
          <w:sz w:val="20"/>
        </w:rPr>
        <w:t xml:space="preserve">к Порядку предоставления субсидии</w:t>
      </w:r>
    </w:p>
    <w:p>
      <w:pPr>
        <w:pStyle w:val="0"/>
        <w:jc w:val="right"/>
      </w:pPr>
      <w:r>
        <w:rPr>
          <w:sz w:val="20"/>
        </w:rPr>
        <w:t xml:space="preserve">из областного бюджета автономной</w:t>
      </w:r>
    </w:p>
    <w:p>
      <w:pPr>
        <w:pStyle w:val="0"/>
        <w:jc w:val="right"/>
      </w:pPr>
      <w:r>
        <w:rPr>
          <w:sz w:val="20"/>
        </w:rPr>
        <w:t xml:space="preserve">некоммерческой организации</w:t>
      </w:r>
    </w:p>
    <w:p>
      <w:pPr>
        <w:pStyle w:val="0"/>
        <w:jc w:val="right"/>
      </w:pPr>
      <w:r>
        <w:rPr>
          <w:sz w:val="20"/>
        </w:rPr>
        <w:t xml:space="preserve">"Зеленая инфраструктура городов"</w:t>
      </w:r>
    </w:p>
    <w:p>
      <w:pPr>
        <w:pStyle w:val="0"/>
        <w:jc w:val="both"/>
      </w:pPr>
      <w:r>
        <w:rPr>
          <w:sz w:val="20"/>
        </w:rPr>
      </w:r>
    </w:p>
    <w:tbl>
      <w:tblPr>
        <w:tblInd w:w="0" w:type="dxa"/>
        <w:tblLayout w:type="fixed"/>
        <w:tblCellMar>
          <w:top w:w="102" w:type="dxa"/>
          <w:left w:w="62" w:type="dxa"/>
          <w:bottom w:w="102" w:type="dxa"/>
          <w:right w:w="62" w:type="dxa"/>
        </w:tblCellMar>
      </w:tblPr>
      <w:tblGrid>
        <w:gridCol w:w="3253"/>
        <w:gridCol w:w="2219"/>
        <w:gridCol w:w="3599"/>
      </w:tblGrid>
      <w:tr>
        <w:tc>
          <w:tcPr>
            <w:gridSpan w:val="3"/>
            <w:tcW w:w="9071" w:type="dxa"/>
            <w:tcBorders>
              <w:top w:val="nil"/>
              <w:left w:val="nil"/>
              <w:bottom w:val="nil"/>
              <w:right w:val="nil"/>
            </w:tcBorders>
          </w:tcPr>
          <w:bookmarkStart w:id="11895" w:name="P11895"/>
          <w:bookmarkEnd w:id="11895"/>
          <w:p>
            <w:pPr>
              <w:pStyle w:val="0"/>
              <w:jc w:val="center"/>
            </w:pPr>
            <w:r>
              <w:rPr>
                <w:sz w:val="20"/>
              </w:rPr>
              <w:t xml:space="preserve">Обязательство</w:t>
            </w:r>
          </w:p>
        </w:tc>
      </w:tr>
      <w:tr>
        <w:tc>
          <w:tcPr>
            <w:gridSpan w:val="3"/>
            <w:tcW w:w="9071" w:type="dxa"/>
            <w:tcBorders>
              <w:top w:val="nil"/>
              <w:left w:val="nil"/>
              <w:bottom w:val="nil"/>
              <w:right w:val="nil"/>
            </w:tcBorders>
          </w:tcPr>
          <w:p>
            <w:pPr>
              <w:pStyle w:val="0"/>
            </w:pPr>
            <w:r>
              <w:rPr>
                <w:sz w:val="20"/>
              </w:rPr>
            </w:r>
          </w:p>
        </w:tc>
      </w:tr>
      <w:tr>
        <w:tc>
          <w:tcPr>
            <w:gridSpan w:val="3"/>
            <w:tcW w:w="9071" w:type="dxa"/>
            <w:vAlign w:val="center"/>
            <w:tcBorders>
              <w:top w:val="nil"/>
              <w:left w:val="nil"/>
              <w:bottom w:val="nil"/>
              <w:right w:val="nil"/>
            </w:tcBorders>
          </w:tcPr>
          <w:p>
            <w:pPr>
              <w:pStyle w:val="0"/>
              <w:ind w:firstLine="283"/>
              <w:jc w:val="both"/>
            </w:pPr>
            <w:r>
              <w:rPr>
                <w:sz w:val="20"/>
              </w:rPr>
              <w:t xml:space="preserve">Автономная некоммерческая организация "Зеленая инфраструктура городов" обязуется включить в договоры (соглашения), заключенные в целях исполнения обязательств по соглашению о предоставлении субсидии, следующие положения:</w:t>
            </w:r>
          </w:p>
          <w:p>
            <w:pPr>
              <w:pStyle w:val="0"/>
              <w:ind w:firstLine="283"/>
              <w:jc w:val="both"/>
            </w:pPr>
            <w:r>
              <w:rPr>
                <w:sz w:val="20"/>
              </w:rPr>
              <w:t xml:space="preserve">а) согласие лиц, получающих средства на основании договоров (соглашений), на осуществление министерством экономического развития и промышленности Белгородской области, Контрольно-счетной палатой Белгородской области и другими органами государственного финансового контроля проверки соблюдения целей, условий и порядка предоставления субсидии;</w:t>
            </w:r>
          </w:p>
          <w:p>
            <w:pPr>
              <w:pStyle w:val="0"/>
              <w:ind w:firstLine="283"/>
              <w:jc w:val="both"/>
            </w:pPr>
            <w:r>
              <w:rPr>
                <w:sz w:val="20"/>
              </w:rPr>
              <w:t xml:space="preserve">б) запрет приобретения лицами, получающими средства на основании договоров (соглашений), за счет полученных из областного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tc>
      </w:tr>
      <w:tr>
        <w:tc>
          <w:tcPr>
            <w:gridSpan w:val="3"/>
            <w:tcW w:w="9071" w:type="dxa"/>
            <w:tcBorders>
              <w:top w:val="nil"/>
              <w:left w:val="nil"/>
              <w:bottom w:val="nil"/>
              <w:right w:val="nil"/>
            </w:tcBorders>
          </w:tcPr>
          <w:p>
            <w:pPr>
              <w:pStyle w:val="0"/>
            </w:pPr>
            <w:r>
              <w:rPr>
                <w:sz w:val="20"/>
              </w:rPr>
            </w:r>
          </w:p>
        </w:tc>
      </w:tr>
      <w:tr>
        <w:tc>
          <w:tcPr>
            <w:tcW w:w="3253" w:type="dxa"/>
            <w:vAlign w:val="bottom"/>
            <w:tcBorders>
              <w:top w:val="nil"/>
              <w:left w:val="nil"/>
              <w:bottom w:val="nil"/>
              <w:right w:val="nil"/>
            </w:tcBorders>
          </w:tcPr>
          <w:p>
            <w:pPr>
              <w:pStyle w:val="0"/>
            </w:pPr>
            <w:r>
              <w:rPr>
                <w:sz w:val="20"/>
              </w:rPr>
              <w:t xml:space="preserve">_________________________</w:t>
            </w:r>
          </w:p>
          <w:p>
            <w:pPr>
              <w:pStyle w:val="0"/>
              <w:jc w:val="center"/>
            </w:pPr>
            <w:r>
              <w:rPr>
                <w:sz w:val="20"/>
              </w:rPr>
              <w:t xml:space="preserve">(должность руководителя)</w:t>
            </w:r>
          </w:p>
        </w:tc>
        <w:tc>
          <w:tcPr>
            <w:tcW w:w="2219"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3599" w:type="dxa"/>
            <w:tcBorders>
              <w:top w:val="nil"/>
              <w:left w:val="nil"/>
              <w:bottom w:val="nil"/>
              <w:right w:val="nil"/>
            </w:tcBorders>
          </w:tcPr>
          <w:p>
            <w:pPr>
              <w:pStyle w:val="0"/>
              <w:jc w:val="center"/>
            </w:pPr>
            <w:r>
              <w:rPr>
                <w:sz w:val="20"/>
              </w:rPr>
              <w:t xml:space="preserve">________________________</w:t>
            </w:r>
          </w:p>
          <w:p>
            <w:pPr>
              <w:pStyle w:val="0"/>
              <w:jc w:val="center"/>
            </w:pPr>
            <w:r>
              <w:rPr>
                <w:sz w:val="20"/>
              </w:rPr>
              <w:t xml:space="preserve">(Ф.И.О.)</w:t>
            </w:r>
          </w:p>
        </w:tc>
      </w:tr>
      <w:tr>
        <w:tc>
          <w:tcPr>
            <w:gridSpan w:val="3"/>
            <w:tcW w:w="9071" w:type="dxa"/>
            <w:vAlign w:val="bottom"/>
            <w:tcBorders>
              <w:top w:val="nil"/>
              <w:left w:val="nil"/>
              <w:bottom w:val="nil"/>
              <w:right w:val="nil"/>
            </w:tcBorders>
          </w:tcPr>
          <w:p>
            <w:pPr>
              <w:pStyle w:val="0"/>
              <w:ind w:left="2830"/>
            </w:pPr>
            <w:r>
              <w:rPr>
                <w:sz w:val="20"/>
              </w:rPr>
              <w:t xml:space="preserve">М.П.</w:t>
            </w:r>
          </w:p>
        </w:tc>
      </w:tr>
      <w:tr>
        <w:tc>
          <w:tcPr>
            <w:gridSpan w:val="3"/>
            <w:tcW w:w="9071" w:type="dxa"/>
            <w:tcBorders>
              <w:top w:val="nil"/>
              <w:left w:val="nil"/>
              <w:bottom w:val="nil"/>
              <w:right w:val="nil"/>
            </w:tcBorders>
          </w:tcPr>
          <w:p>
            <w:pPr>
              <w:pStyle w:val="0"/>
              <w:jc w:val="right"/>
            </w:pPr>
            <w:r>
              <w:rPr>
                <w:sz w:val="20"/>
              </w:rPr>
              <w:t xml:space="preserve">"__" ___________ 20__ года</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5</w:t>
      </w:r>
    </w:p>
    <w:p>
      <w:pPr>
        <w:pStyle w:val="0"/>
        <w:jc w:val="right"/>
      </w:pPr>
      <w:r>
        <w:rPr>
          <w:sz w:val="20"/>
        </w:rPr>
        <w:t xml:space="preserve">к Порядку предоставления субсидии</w:t>
      </w:r>
    </w:p>
    <w:p>
      <w:pPr>
        <w:pStyle w:val="0"/>
        <w:jc w:val="right"/>
      </w:pPr>
      <w:r>
        <w:rPr>
          <w:sz w:val="20"/>
        </w:rPr>
        <w:t xml:space="preserve">из областного бюджета автономной</w:t>
      </w:r>
    </w:p>
    <w:p>
      <w:pPr>
        <w:pStyle w:val="0"/>
        <w:jc w:val="right"/>
      </w:pPr>
      <w:r>
        <w:rPr>
          <w:sz w:val="20"/>
        </w:rPr>
        <w:t xml:space="preserve">некоммерческой организации</w:t>
      </w:r>
    </w:p>
    <w:p>
      <w:pPr>
        <w:pStyle w:val="0"/>
        <w:jc w:val="right"/>
      </w:pPr>
      <w:r>
        <w:rPr>
          <w:sz w:val="20"/>
        </w:rPr>
        <w:t xml:space="preserve">"Зеленая инфраструктура городов"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69"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06.02.2023 N 44-пп)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CellMar>
          <w:top w:w="102" w:type="dxa"/>
          <w:left w:w="62" w:type="dxa"/>
          <w:bottom w:w="102" w:type="dxa"/>
          <w:right w:w="62" w:type="dxa"/>
        </w:tblCellMar>
      </w:tblPr>
      <w:tblGrid>
        <w:gridCol w:w="3253"/>
        <w:gridCol w:w="2219"/>
        <w:gridCol w:w="3599"/>
      </w:tblGrid>
      <w:tr>
        <w:tc>
          <w:tcPr>
            <w:gridSpan w:val="3"/>
            <w:tcW w:w="9071" w:type="dxa"/>
            <w:tcBorders>
              <w:top w:val="nil"/>
              <w:left w:val="nil"/>
              <w:bottom w:val="nil"/>
              <w:right w:val="nil"/>
            </w:tcBorders>
          </w:tcPr>
          <w:bookmarkStart w:id="11923" w:name="P11923"/>
          <w:bookmarkEnd w:id="11923"/>
          <w:p>
            <w:pPr>
              <w:pStyle w:val="0"/>
              <w:jc w:val="center"/>
            </w:pPr>
            <w:r>
              <w:rPr>
                <w:sz w:val="20"/>
              </w:rPr>
              <w:t xml:space="preserve">Справка</w:t>
            </w:r>
          </w:p>
        </w:tc>
      </w:tr>
      <w:tr>
        <w:tc>
          <w:tcPr>
            <w:gridSpan w:val="3"/>
            <w:tcW w:w="9071" w:type="dxa"/>
            <w:tcBorders>
              <w:top w:val="nil"/>
              <w:left w:val="nil"/>
              <w:bottom w:val="nil"/>
              <w:right w:val="nil"/>
            </w:tcBorders>
          </w:tcPr>
          <w:p>
            <w:pPr>
              <w:pStyle w:val="0"/>
            </w:pPr>
            <w:r>
              <w:rPr>
                <w:sz w:val="20"/>
              </w:rPr>
            </w:r>
          </w:p>
        </w:tc>
      </w:tr>
      <w:tr>
        <w:tc>
          <w:tcPr>
            <w:gridSpan w:val="3"/>
            <w:tcW w:w="9071" w:type="dxa"/>
            <w:tcBorders>
              <w:top w:val="nil"/>
              <w:left w:val="nil"/>
              <w:bottom w:val="nil"/>
              <w:right w:val="nil"/>
            </w:tcBorders>
          </w:tcPr>
          <w:p>
            <w:pPr>
              <w:pStyle w:val="0"/>
              <w:ind w:firstLine="283"/>
              <w:jc w:val="both"/>
            </w:pPr>
            <w:r>
              <w:rPr>
                <w:sz w:val="20"/>
              </w:rPr>
              <w:t xml:space="preserve">Настоящим автономная некоммерческая организация "Зеленая инфраструктура городов" подтверждает, что по состоянию на первое число</w:t>
            </w:r>
          </w:p>
          <w:p>
            <w:pPr>
              <w:pStyle w:val="0"/>
              <w:jc w:val="both"/>
            </w:pPr>
            <w:r>
              <w:rPr>
                <w:sz w:val="20"/>
              </w:rPr>
              <w:t xml:space="preserve">_________________________________________________________________________:</w:t>
            </w:r>
          </w:p>
          <w:p>
            <w:pPr>
              <w:pStyle w:val="0"/>
              <w:jc w:val="center"/>
            </w:pPr>
            <w:r>
              <w:rPr>
                <w:sz w:val="20"/>
              </w:rPr>
              <w:t xml:space="preserve">(указывается месяц, предшествующий месяцу, в котором подается заявление о предоставлении субсидии)</w:t>
            </w:r>
          </w:p>
          <w:p>
            <w:pPr>
              <w:pStyle w:val="0"/>
              <w:ind w:firstLine="283"/>
              <w:jc w:val="both"/>
            </w:pPr>
            <w:r>
              <w:rPr>
                <w:sz w:val="20"/>
              </w:rPr>
              <w:t xml:space="preserve">а)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pPr>
              <w:pStyle w:val="0"/>
              <w:ind w:firstLine="283"/>
              <w:jc w:val="both"/>
            </w:pPr>
            <w:r>
              <w:rPr>
                <w:sz w:val="20"/>
              </w:rPr>
              <w:t xml:space="preserve">б) не получает средства из областного бюджета в соответствии с иными нормативными правовыми актами на цель, указанную в </w:t>
            </w:r>
            <w:hyperlink w:history="0" w:anchor="P11686" w:tooltip="1.2. Цель предоставления субсидии - финансовое обеспечение затрат АНО &quot;Зеленая инфраструктура городов&quot;,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w:r>
                <w:rPr>
                  <w:sz w:val="20"/>
                  <w:color w:val="0000ff"/>
                </w:rPr>
                <w:t xml:space="preserve">пункте 1.2 раздела 1</w:t>
              </w:r>
            </w:hyperlink>
            <w:r>
              <w:rPr>
                <w:sz w:val="20"/>
              </w:rPr>
              <w:t xml:space="preserve"> Порядка предоставления субсидии из областного бюджета автономной некоммерческой организации "Зеленая инфраструктура городов".</w:t>
            </w:r>
          </w:p>
        </w:tc>
      </w:tr>
      <w:tr>
        <w:tc>
          <w:tcPr>
            <w:gridSpan w:val="3"/>
            <w:tcW w:w="9071" w:type="dxa"/>
            <w:tcBorders>
              <w:top w:val="nil"/>
              <w:left w:val="nil"/>
              <w:bottom w:val="nil"/>
              <w:right w:val="nil"/>
            </w:tcBorders>
          </w:tcPr>
          <w:p>
            <w:pPr>
              <w:pStyle w:val="0"/>
            </w:pPr>
            <w:r>
              <w:rPr>
                <w:sz w:val="20"/>
              </w:rPr>
            </w:r>
          </w:p>
        </w:tc>
      </w:tr>
      <w:tr>
        <w:tc>
          <w:tcPr>
            <w:tcW w:w="3253" w:type="dxa"/>
            <w:vAlign w:val="bottom"/>
            <w:tcBorders>
              <w:top w:val="nil"/>
              <w:left w:val="nil"/>
              <w:bottom w:val="nil"/>
              <w:right w:val="nil"/>
            </w:tcBorders>
          </w:tcPr>
          <w:p>
            <w:pPr>
              <w:pStyle w:val="0"/>
            </w:pPr>
            <w:r>
              <w:rPr>
                <w:sz w:val="20"/>
              </w:rPr>
              <w:t xml:space="preserve">_________________________</w:t>
            </w:r>
          </w:p>
          <w:p>
            <w:pPr>
              <w:pStyle w:val="0"/>
              <w:jc w:val="center"/>
            </w:pPr>
            <w:r>
              <w:rPr>
                <w:sz w:val="20"/>
              </w:rPr>
              <w:t xml:space="preserve">(должность руководителя)</w:t>
            </w:r>
          </w:p>
        </w:tc>
        <w:tc>
          <w:tcPr>
            <w:tcW w:w="2219" w:type="dxa"/>
            <w:tcBorders>
              <w:top w:val="nil"/>
              <w:left w:val="nil"/>
              <w:bottom w:val="nil"/>
              <w:right w:val="nil"/>
            </w:tcBorders>
          </w:tcPr>
          <w:p>
            <w:pPr>
              <w:pStyle w:val="0"/>
              <w:jc w:val="center"/>
            </w:pPr>
            <w:r>
              <w:rPr>
                <w:sz w:val="20"/>
              </w:rPr>
              <w:t xml:space="preserve">______________</w:t>
            </w:r>
          </w:p>
          <w:p>
            <w:pPr>
              <w:pStyle w:val="0"/>
              <w:jc w:val="center"/>
            </w:pPr>
            <w:r>
              <w:rPr>
                <w:sz w:val="20"/>
              </w:rPr>
              <w:t xml:space="preserve">(подпись)</w:t>
            </w:r>
          </w:p>
        </w:tc>
        <w:tc>
          <w:tcPr>
            <w:tcW w:w="3599" w:type="dxa"/>
            <w:tcBorders>
              <w:top w:val="nil"/>
              <w:left w:val="nil"/>
              <w:bottom w:val="nil"/>
              <w:right w:val="nil"/>
            </w:tcBorders>
          </w:tcPr>
          <w:p>
            <w:pPr>
              <w:pStyle w:val="0"/>
              <w:jc w:val="center"/>
            </w:pPr>
            <w:r>
              <w:rPr>
                <w:sz w:val="20"/>
              </w:rPr>
              <w:t xml:space="preserve">________________________</w:t>
            </w:r>
          </w:p>
          <w:p>
            <w:pPr>
              <w:pStyle w:val="0"/>
              <w:jc w:val="center"/>
            </w:pPr>
            <w:r>
              <w:rPr>
                <w:sz w:val="20"/>
              </w:rPr>
              <w:t xml:space="preserve">(Ф.И.О.)</w:t>
            </w:r>
          </w:p>
        </w:tc>
      </w:tr>
      <w:tr>
        <w:tc>
          <w:tcPr>
            <w:gridSpan w:val="3"/>
            <w:tcW w:w="9071" w:type="dxa"/>
            <w:vAlign w:val="bottom"/>
            <w:tcBorders>
              <w:top w:val="nil"/>
              <w:left w:val="nil"/>
              <w:bottom w:val="nil"/>
              <w:right w:val="nil"/>
            </w:tcBorders>
          </w:tcPr>
          <w:p>
            <w:pPr>
              <w:pStyle w:val="0"/>
              <w:ind w:left="2830"/>
            </w:pPr>
            <w:r>
              <w:rPr>
                <w:sz w:val="20"/>
              </w:rPr>
              <w:t xml:space="preserve">М.П.</w:t>
            </w:r>
          </w:p>
        </w:tc>
      </w:tr>
      <w:tr>
        <w:tc>
          <w:tcPr>
            <w:gridSpan w:val="3"/>
            <w:tcW w:w="9071" w:type="dxa"/>
            <w:tcBorders>
              <w:top w:val="nil"/>
              <w:left w:val="nil"/>
              <w:bottom w:val="nil"/>
              <w:right w:val="nil"/>
            </w:tcBorders>
          </w:tcPr>
          <w:p>
            <w:pPr>
              <w:pStyle w:val="0"/>
              <w:jc w:val="right"/>
            </w:pPr>
            <w:r>
              <w:rPr>
                <w:sz w:val="20"/>
              </w:rPr>
              <w:t xml:space="preserve">"__" __________ 20__ года</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2"/>
        <w:jc w:val="right"/>
      </w:pPr>
      <w:r>
        <w:rPr>
          <w:sz w:val="20"/>
        </w:rPr>
        <w:t xml:space="preserve">Приложение N 6</w:t>
      </w:r>
    </w:p>
    <w:p>
      <w:pPr>
        <w:pStyle w:val="0"/>
        <w:jc w:val="right"/>
      </w:pPr>
      <w:r>
        <w:rPr>
          <w:sz w:val="20"/>
        </w:rPr>
        <w:t xml:space="preserve">к Порядку предоставления субсидии</w:t>
      </w:r>
    </w:p>
    <w:p>
      <w:pPr>
        <w:pStyle w:val="0"/>
        <w:jc w:val="right"/>
      </w:pPr>
      <w:r>
        <w:rPr>
          <w:sz w:val="20"/>
        </w:rPr>
        <w:t xml:space="preserve">из областного бюджета автономной</w:t>
      </w:r>
    </w:p>
    <w:p>
      <w:pPr>
        <w:pStyle w:val="0"/>
        <w:jc w:val="right"/>
      </w:pPr>
      <w:r>
        <w:rPr>
          <w:sz w:val="20"/>
        </w:rPr>
        <w:t xml:space="preserve">некоммерческой организации</w:t>
      </w:r>
    </w:p>
    <w:p>
      <w:pPr>
        <w:pStyle w:val="0"/>
        <w:jc w:val="right"/>
      </w:pPr>
      <w:r>
        <w:rPr>
          <w:sz w:val="20"/>
        </w:rPr>
        <w:t xml:space="preserve">"Зеленая инфраструктура городов"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70" w:tooltip="Постановление Правительства Белгородской обл. от 06.02.2023 N 44-пп &quot;О внесении изменений в постановление Правительства Белгородской области от 16 декабря 2013 года N 517-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06.02.2023 N 44-пп)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0"/>
        </w:rPr>
      </w:r>
    </w:p>
    <w:p>
      <w:pPr>
        <w:pStyle w:val="0"/>
        <w:jc w:val="right"/>
      </w:pPr>
      <w:r>
        <w:rPr>
          <w:sz w:val="20"/>
        </w:rPr>
        <w:t xml:space="preserve">Форма</w:t>
      </w:r>
    </w:p>
    <w:p>
      <w:pPr>
        <w:pStyle w:val="0"/>
      </w:pPr>
      <w:r>
        <w:rPr>
          <w:sz w:val="20"/>
        </w:rPr>
      </w:r>
    </w:p>
    <w:bookmarkStart w:id="11955" w:name="P11955"/>
    <w:bookmarkEnd w:id="11955"/>
    <w:p>
      <w:pPr>
        <w:pStyle w:val="0"/>
        <w:jc w:val="center"/>
      </w:pPr>
      <w:r>
        <w:rPr>
          <w:sz w:val="20"/>
        </w:rPr>
        <w:t xml:space="preserve">Заявка</w:t>
      </w:r>
    </w:p>
    <w:p>
      <w:pPr>
        <w:pStyle w:val="0"/>
        <w:jc w:val="center"/>
      </w:pPr>
      <w:r>
        <w:rPr>
          <w:sz w:val="20"/>
        </w:rPr>
        <w:t xml:space="preserve">на перечисление субсидии</w:t>
      </w:r>
    </w:p>
    <w:p>
      <w:pPr>
        <w:pStyle w:val="0"/>
        <w:ind w:firstLine="540"/>
        <w:jc w:val="both"/>
      </w:pPr>
      <w:r>
        <w:rPr>
          <w:sz w:val="20"/>
        </w:rPr>
      </w:r>
    </w:p>
    <w:p>
      <w:pPr>
        <w:pStyle w:val="0"/>
        <w:ind w:firstLine="540"/>
        <w:jc w:val="both"/>
      </w:pPr>
      <w:r>
        <w:rPr>
          <w:sz w:val="20"/>
        </w:rPr>
        <w:t xml:space="preserve">Автономная некоммерческая организация "Зеленая инфраструктура городов" (далее - АНО "Зеленая инфраструктура городов") просит перечислить в ________ 20_ года субсидию из областного бюджета в размере ____________ рублей __ копеек на финансовое обеспечение затрат АНО "Зеленая инфраструктура городов", связанных с разработкой и реализацией инновационных проектов в области охраны окружающей среды, в том числе разработкой и внедрением системы инжиниринга урбобиоценоза на территории Белгородской области, а также обеспечением текущей деятельности организации в рамках реализации основного мероприятия "Разработка и реализация инновационных проектов в области охраны окружающей среды" подпрограммы 3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w:t>
      </w:r>
    </w:p>
    <w:p>
      <w:pPr>
        <w:pStyle w:val="0"/>
        <w:ind w:firstLine="540"/>
        <w:jc w:val="both"/>
      </w:pPr>
      <w:r>
        <w:rPr>
          <w:sz w:val="20"/>
        </w:rPr>
      </w:r>
    </w:p>
    <w:p>
      <w:pPr>
        <w:pStyle w:val="0"/>
        <w:jc w:val="center"/>
      </w:pPr>
      <w:r>
        <w:rPr>
          <w:sz w:val="20"/>
        </w:rPr>
        <w:t xml:space="preserve">Банковские реквизиты для получения субсидии:</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233"/>
        <w:gridCol w:w="4819"/>
      </w:tblGrid>
      <w:tr>
        <w:tc>
          <w:tcPr>
            <w:tcW w:w="4233" w:type="dxa"/>
            <w:vAlign w:val="center"/>
          </w:tcPr>
          <w:p>
            <w:pPr>
              <w:pStyle w:val="0"/>
            </w:pPr>
            <w:r>
              <w:rPr>
                <w:sz w:val="20"/>
              </w:rPr>
              <w:t xml:space="preserve">Получатель</w:t>
            </w:r>
          </w:p>
        </w:tc>
        <w:tc>
          <w:tcPr>
            <w:tcW w:w="4819" w:type="dxa"/>
            <w:vAlign w:val="center"/>
          </w:tcPr>
          <w:p>
            <w:pPr>
              <w:pStyle w:val="0"/>
            </w:pPr>
            <w:r>
              <w:rPr>
                <w:sz w:val="20"/>
              </w:rPr>
            </w:r>
          </w:p>
        </w:tc>
      </w:tr>
      <w:tr>
        <w:tc>
          <w:tcPr>
            <w:tcW w:w="4233" w:type="dxa"/>
            <w:vAlign w:val="center"/>
          </w:tcPr>
          <w:p>
            <w:pPr>
              <w:pStyle w:val="0"/>
            </w:pPr>
            <w:r>
              <w:rPr>
                <w:sz w:val="20"/>
              </w:rPr>
              <w:t xml:space="preserve">ИНН</w:t>
            </w:r>
          </w:p>
        </w:tc>
        <w:tc>
          <w:tcPr>
            <w:tcW w:w="4819" w:type="dxa"/>
            <w:vAlign w:val="center"/>
          </w:tcPr>
          <w:p>
            <w:pPr>
              <w:pStyle w:val="0"/>
            </w:pPr>
            <w:r>
              <w:rPr>
                <w:sz w:val="20"/>
              </w:rPr>
            </w:r>
          </w:p>
        </w:tc>
      </w:tr>
      <w:tr>
        <w:tc>
          <w:tcPr>
            <w:tcW w:w="4233" w:type="dxa"/>
            <w:vAlign w:val="center"/>
          </w:tcPr>
          <w:p>
            <w:pPr>
              <w:pStyle w:val="0"/>
            </w:pPr>
            <w:r>
              <w:rPr>
                <w:sz w:val="20"/>
              </w:rPr>
              <w:t xml:space="preserve">Расчетный счет</w:t>
            </w:r>
          </w:p>
        </w:tc>
        <w:tc>
          <w:tcPr>
            <w:tcW w:w="4819" w:type="dxa"/>
            <w:vAlign w:val="center"/>
          </w:tcPr>
          <w:p>
            <w:pPr>
              <w:pStyle w:val="0"/>
            </w:pPr>
            <w:r>
              <w:rPr>
                <w:sz w:val="20"/>
              </w:rPr>
            </w:r>
          </w:p>
        </w:tc>
      </w:tr>
      <w:tr>
        <w:tc>
          <w:tcPr>
            <w:tcW w:w="4233" w:type="dxa"/>
            <w:vAlign w:val="center"/>
          </w:tcPr>
          <w:p>
            <w:pPr>
              <w:pStyle w:val="0"/>
            </w:pPr>
            <w:r>
              <w:rPr>
                <w:sz w:val="20"/>
              </w:rPr>
              <w:t xml:space="preserve">Наименование кредитной организации</w:t>
            </w:r>
          </w:p>
        </w:tc>
        <w:tc>
          <w:tcPr>
            <w:tcW w:w="4819" w:type="dxa"/>
            <w:vAlign w:val="center"/>
          </w:tcPr>
          <w:p>
            <w:pPr>
              <w:pStyle w:val="0"/>
            </w:pPr>
            <w:r>
              <w:rPr>
                <w:sz w:val="20"/>
              </w:rPr>
            </w:r>
          </w:p>
        </w:tc>
      </w:tr>
      <w:tr>
        <w:tc>
          <w:tcPr>
            <w:tcW w:w="4233" w:type="dxa"/>
            <w:vAlign w:val="center"/>
          </w:tcPr>
          <w:p>
            <w:pPr>
              <w:pStyle w:val="0"/>
            </w:pPr>
            <w:r>
              <w:rPr>
                <w:sz w:val="20"/>
              </w:rPr>
              <w:t xml:space="preserve">БИК</w:t>
            </w:r>
          </w:p>
        </w:tc>
        <w:tc>
          <w:tcPr>
            <w:tcW w:w="4819" w:type="dxa"/>
            <w:vAlign w:val="center"/>
          </w:tcPr>
          <w:p>
            <w:pPr>
              <w:pStyle w:val="0"/>
            </w:pPr>
            <w:r>
              <w:rPr>
                <w:sz w:val="20"/>
              </w:rPr>
            </w:r>
          </w:p>
        </w:tc>
      </w:tr>
      <w:tr>
        <w:tc>
          <w:tcPr>
            <w:tcW w:w="4233" w:type="dxa"/>
            <w:vAlign w:val="center"/>
          </w:tcPr>
          <w:p>
            <w:pPr>
              <w:pStyle w:val="0"/>
            </w:pPr>
            <w:r>
              <w:rPr>
                <w:sz w:val="20"/>
              </w:rPr>
              <w:t xml:space="preserve">Корреспондентский счет</w:t>
            </w:r>
          </w:p>
        </w:tc>
        <w:tc>
          <w:tcPr>
            <w:tcW w:w="4819" w:type="dxa"/>
            <w:vAlign w:val="center"/>
          </w:tcPr>
          <w:p>
            <w:pPr>
              <w:pStyle w:val="0"/>
            </w:pPr>
            <w:r>
              <w:rPr>
                <w:sz w:val="20"/>
              </w:rPr>
            </w:r>
          </w:p>
        </w:tc>
      </w:tr>
      <w:tr>
        <w:tc>
          <w:tcPr>
            <w:tcW w:w="4233" w:type="dxa"/>
            <w:vAlign w:val="center"/>
          </w:tcPr>
          <w:p>
            <w:pPr>
              <w:pStyle w:val="0"/>
            </w:pPr>
            <w:hyperlink w:history="0" r:id="rId271"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622/2023) {КонсультантПлюс}">
              <w:r>
                <w:rPr>
                  <w:sz w:val="20"/>
                  <w:color w:val="0000ff"/>
                </w:rPr>
                <w:t xml:space="preserve">ОКТМО</w:t>
              </w:r>
            </w:hyperlink>
          </w:p>
        </w:tc>
        <w:tc>
          <w:tcPr>
            <w:tcW w:w="4819" w:type="dxa"/>
            <w:vAlign w:val="center"/>
          </w:tcPr>
          <w:p>
            <w:pPr>
              <w:pStyle w:val="0"/>
            </w:pPr>
            <w:r>
              <w:rPr>
                <w:sz w:val="20"/>
              </w:rPr>
            </w:r>
          </w:p>
        </w:tc>
      </w:tr>
      <w:tr>
        <w:tc>
          <w:tcPr>
            <w:tcW w:w="4233" w:type="dxa"/>
            <w:vAlign w:val="center"/>
          </w:tcPr>
          <w:p>
            <w:pPr>
              <w:pStyle w:val="0"/>
            </w:pPr>
            <w:r>
              <w:rPr>
                <w:sz w:val="20"/>
              </w:rPr>
              <w:t xml:space="preserve">Местонахождение и юридический адрес получателя субсидии</w:t>
            </w:r>
          </w:p>
        </w:tc>
        <w:tc>
          <w:tcPr>
            <w:tcW w:w="4819" w:type="dxa"/>
            <w:vAlign w:val="center"/>
          </w:tcPr>
          <w:p>
            <w:pPr>
              <w:pStyle w:val="0"/>
            </w:pPr>
            <w:r>
              <w:rPr>
                <w:sz w:val="20"/>
              </w:rPr>
            </w:r>
          </w:p>
        </w:tc>
      </w:tr>
    </w:tbl>
    <w:p>
      <w:pPr>
        <w:pStyle w:val="0"/>
        <w:ind w:firstLine="540"/>
        <w:jc w:val="both"/>
      </w:pPr>
      <w:r>
        <w:rPr>
          <w:sz w:val="20"/>
        </w:rPr>
      </w:r>
    </w:p>
    <w:p>
      <w:pPr>
        <w:pStyle w:val="0"/>
        <w:ind w:firstLine="540"/>
        <w:jc w:val="both"/>
      </w:pPr>
      <w:r>
        <w:rPr>
          <w:sz w:val="20"/>
        </w:rPr>
        <w:t xml:space="preserve">Достоверность представленной информации гарантирую.</w:t>
      </w:r>
    </w:p>
    <w:p>
      <w:pPr>
        <w:pStyle w:val="0"/>
        <w:spacing w:before="200" w:line-rule="auto"/>
        <w:ind w:firstLine="540"/>
        <w:jc w:val="both"/>
      </w:pPr>
      <w:r>
        <w:rPr>
          <w:sz w:val="20"/>
        </w:rPr>
        <w:t xml:space="preserve">К заявке прилагаются следующие документы: _____________________________</w:t>
      </w:r>
    </w:p>
    <w:p>
      <w:pPr>
        <w:pStyle w:val="0"/>
        <w:ind w:firstLine="540"/>
        <w:jc w:val="both"/>
      </w:pPr>
      <w:r>
        <w:rPr>
          <w:sz w:val="20"/>
        </w:rPr>
      </w:r>
    </w:p>
    <w:tbl>
      <w:tblPr>
        <w:tblInd w:w="0" w:type="dxa"/>
        <w:tblLayout w:type="fixed"/>
        <w:tblCellMar>
          <w:top w:w="102" w:type="dxa"/>
          <w:left w:w="62" w:type="dxa"/>
          <w:bottom w:w="102" w:type="dxa"/>
          <w:right w:w="62" w:type="dxa"/>
        </w:tblCellMar>
      </w:tblPr>
      <w:tblGrid>
        <w:gridCol w:w="3231"/>
        <w:gridCol w:w="2127"/>
        <w:gridCol w:w="510"/>
        <w:gridCol w:w="3175"/>
      </w:tblGrid>
      <w:tr>
        <w:tc>
          <w:tcPr>
            <w:tcW w:w="3231" w:type="dxa"/>
            <w:tcBorders>
              <w:top w:val="nil"/>
              <w:left w:val="nil"/>
              <w:bottom w:val="nil"/>
              <w:right w:val="nil"/>
            </w:tcBorders>
          </w:tcPr>
          <w:p>
            <w:pPr>
              <w:pStyle w:val="0"/>
              <w:jc w:val="center"/>
            </w:pPr>
            <w:r>
              <w:rPr>
                <w:sz w:val="20"/>
              </w:rPr>
              <w:t xml:space="preserve">____________________</w:t>
            </w:r>
          </w:p>
        </w:tc>
        <w:tc>
          <w:tcPr>
            <w:gridSpan w:val="2"/>
            <w:tcW w:w="2637" w:type="dxa"/>
            <w:tcBorders>
              <w:top w:val="nil"/>
              <w:left w:val="nil"/>
              <w:bottom w:val="nil"/>
              <w:right w:val="nil"/>
            </w:tcBorders>
          </w:tcPr>
          <w:p>
            <w:pPr>
              <w:pStyle w:val="0"/>
              <w:jc w:val="center"/>
            </w:pPr>
            <w:r>
              <w:rPr>
                <w:sz w:val="20"/>
              </w:rPr>
              <w:t xml:space="preserve">_____________</w:t>
            </w:r>
          </w:p>
        </w:tc>
        <w:tc>
          <w:tcPr>
            <w:tcW w:w="3175" w:type="dxa"/>
            <w:tcBorders>
              <w:top w:val="nil"/>
              <w:left w:val="nil"/>
              <w:bottom w:val="nil"/>
              <w:right w:val="nil"/>
            </w:tcBorders>
          </w:tcPr>
          <w:p>
            <w:pPr>
              <w:pStyle w:val="0"/>
              <w:jc w:val="center"/>
            </w:pPr>
            <w:r>
              <w:rPr>
                <w:sz w:val="20"/>
              </w:rPr>
              <w:t xml:space="preserve">____________________</w:t>
            </w:r>
          </w:p>
        </w:tc>
      </w:tr>
      <w:tr>
        <w:tc>
          <w:tcPr>
            <w:tcW w:w="3231" w:type="dxa"/>
            <w:tcBorders>
              <w:top w:val="nil"/>
              <w:left w:val="nil"/>
              <w:bottom w:val="nil"/>
              <w:right w:val="nil"/>
            </w:tcBorders>
          </w:tcPr>
          <w:p>
            <w:pPr>
              <w:pStyle w:val="0"/>
              <w:jc w:val="center"/>
            </w:pPr>
            <w:r>
              <w:rPr>
                <w:sz w:val="20"/>
              </w:rPr>
              <w:t xml:space="preserve">(должность руководителя)</w:t>
            </w:r>
          </w:p>
        </w:tc>
        <w:tc>
          <w:tcPr>
            <w:gridSpan w:val="2"/>
            <w:tcW w:w="2637" w:type="dxa"/>
            <w:tcBorders>
              <w:top w:val="nil"/>
              <w:left w:val="nil"/>
              <w:bottom w:val="nil"/>
              <w:right w:val="nil"/>
            </w:tcBorders>
          </w:tcPr>
          <w:p>
            <w:pPr>
              <w:pStyle w:val="0"/>
              <w:jc w:val="center"/>
            </w:pPr>
            <w:r>
              <w:rPr>
                <w:sz w:val="20"/>
              </w:rPr>
              <w:t xml:space="preserve">(подпись)</w:t>
            </w:r>
          </w:p>
        </w:tc>
        <w:tc>
          <w:tcPr>
            <w:tcW w:w="3175" w:type="dxa"/>
            <w:tcBorders>
              <w:top w:val="nil"/>
              <w:left w:val="nil"/>
              <w:bottom w:val="nil"/>
              <w:right w:val="nil"/>
            </w:tcBorders>
          </w:tcPr>
          <w:p>
            <w:pPr>
              <w:pStyle w:val="0"/>
              <w:jc w:val="center"/>
            </w:pPr>
            <w:r>
              <w:rPr>
                <w:sz w:val="20"/>
              </w:rPr>
              <w:t xml:space="preserve">(Ф.И.О.)</w:t>
            </w:r>
          </w:p>
        </w:tc>
      </w:tr>
      <w:tr>
        <w:tc>
          <w:tcPr>
            <w:tcW w:w="3231" w:type="dxa"/>
            <w:tcBorders>
              <w:top w:val="nil"/>
              <w:left w:val="nil"/>
              <w:bottom w:val="nil"/>
              <w:right w:val="nil"/>
            </w:tcBorders>
          </w:tcPr>
          <w:p>
            <w:pPr>
              <w:pStyle w:val="0"/>
              <w:jc w:val="center"/>
            </w:pPr>
            <w:r>
              <w:rPr>
                <w:sz w:val="20"/>
              </w:rPr>
            </w:r>
          </w:p>
        </w:tc>
        <w:tc>
          <w:tcPr>
            <w:gridSpan w:val="2"/>
            <w:tcW w:w="2637" w:type="dxa"/>
            <w:tcBorders>
              <w:top w:val="nil"/>
              <w:left w:val="nil"/>
              <w:bottom w:val="nil"/>
              <w:right w:val="nil"/>
            </w:tcBorders>
          </w:tcPr>
          <w:p>
            <w:pPr>
              <w:pStyle w:val="0"/>
              <w:jc w:val="center"/>
            </w:pPr>
            <w:r>
              <w:rPr>
                <w:sz w:val="20"/>
              </w:rPr>
            </w:r>
          </w:p>
        </w:tc>
        <w:tc>
          <w:tcPr>
            <w:tcW w:w="3175" w:type="dxa"/>
            <w:tcBorders>
              <w:top w:val="nil"/>
              <w:left w:val="nil"/>
              <w:bottom w:val="nil"/>
              <w:right w:val="nil"/>
            </w:tcBorders>
          </w:tcPr>
          <w:p>
            <w:pPr>
              <w:pStyle w:val="0"/>
              <w:jc w:val="center"/>
            </w:pPr>
            <w:r>
              <w:rPr>
                <w:sz w:val="20"/>
              </w:rPr>
            </w:r>
          </w:p>
        </w:tc>
      </w:tr>
      <w:tr>
        <w:tc>
          <w:tcPr>
            <w:tcW w:w="3231" w:type="dxa"/>
            <w:tcBorders>
              <w:top w:val="nil"/>
              <w:left w:val="nil"/>
              <w:bottom w:val="nil"/>
              <w:right w:val="nil"/>
            </w:tcBorders>
          </w:tcPr>
          <w:p>
            <w:pPr>
              <w:pStyle w:val="0"/>
              <w:jc w:val="right"/>
            </w:pPr>
            <w:r>
              <w:rPr>
                <w:sz w:val="20"/>
              </w:rPr>
            </w:r>
          </w:p>
        </w:tc>
        <w:tc>
          <w:tcPr>
            <w:tcW w:w="2127" w:type="dxa"/>
            <w:tcBorders>
              <w:top w:val="nil"/>
              <w:left w:val="nil"/>
              <w:bottom w:val="nil"/>
              <w:right w:val="nil"/>
            </w:tcBorders>
          </w:tcPr>
          <w:p>
            <w:pPr>
              <w:pStyle w:val="0"/>
            </w:pPr>
            <w:r>
              <w:rPr>
                <w:sz w:val="20"/>
              </w:rPr>
              <w:t xml:space="preserve">М.П.</w:t>
            </w:r>
          </w:p>
        </w:tc>
        <w:tc>
          <w:tcPr>
            <w:gridSpan w:val="2"/>
            <w:tcW w:w="3685" w:type="dxa"/>
            <w:tcBorders>
              <w:top w:val="nil"/>
              <w:left w:val="nil"/>
              <w:bottom w:val="nil"/>
              <w:right w:val="nil"/>
            </w:tcBorders>
          </w:tcPr>
          <w:p>
            <w:pPr>
              <w:pStyle w:val="0"/>
              <w:jc w:val="right"/>
            </w:pPr>
            <w:r>
              <w:rPr>
                <w:sz w:val="20"/>
              </w:rPr>
              <w:t xml:space="preserve">"___" ____________ 20____ года</w:t>
            </w:r>
          </w:p>
        </w:tc>
      </w:tr>
    </w:tbl>
    <w:p>
      <w:pPr>
        <w:pStyle w:val="0"/>
        <w:jc w:val="both"/>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15</w:t>
      </w:r>
    </w:p>
    <w:p>
      <w:pPr>
        <w:pStyle w:val="0"/>
        <w:jc w:val="right"/>
      </w:pPr>
      <w:r>
        <w:rPr>
          <w:sz w:val="20"/>
        </w:rPr>
        <w:t xml:space="preserve">к государственной программе Белгородской</w:t>
      </w:r>
    </w:p>
    <w:p>
      <w:pPr>
        <w:pStyle w:val="0"/>
        <w:jc w:val="right"/>
      </w:pPr>
      <w:r>
        <w:rPr>
          <w:sz w:val="20"/>
        </w:rPr>
        <w:t xml:space="preserve">области "Развитие водного и лесного хозяйства</w:t>
      </w:r>
    </w:p>
    <w:p>
      <w:pPr>
        <w:pStyle w:val="0"/>
        <w:jc w:val="right"/>
      </w:pPr>
      <w:r>
        <w:rPr>
          <w:sz w:val="20"/>
        </w:rPr>
        <w:t xml:space="preserve">Белгородской области, охрана окружающей среды"</w:t>
      </w:r>
    </w:p>
    <w:p>
      <w:pPr>
        <w:pStyle w:val="0"/>
        <w:ind w:firstLine="540"/>
        <w:jc w:val="both"/>
      </w:pPr>
      <w:r>
        <w:rPr>
          <w:sz w:val="20"/>
        </w:rPr>
      </w:r>
    </w:p>
    <w:bookmarkStart w:id="12004" w:name="P12004"/>
    <w:bookmarkEnd w:id="12004"/>
    <w:p>
      <w:pPr>
        <w:pStyle w:val="2"/>
        <w:jc w:val="center"/>
      </w:pPr>
      <w:r>
        <w:rPr>
          <w:sz w:val="20"/>
        </w:rPr>
        <w:t xml:space="preserve">Порядок</w:t>
      </w:r>
    </w:p>
    <w:p>
      <w:pPr>
        <w:pStyle w:val="2"/>
        <w:jc w:val="center"/>
      </w:pPr>
      <w:r>
        <w:rPr>
          <w:sz w:val="20"/>
        </w:rPr>
        <w:t xml:space="preserve">распределения и предоставления субсидий из областного</w:t>
      </w:r>
    </w:p>
    <w:p>
      <w:pPr>
        <w:pStyle w:val="2"/>
        <w:jc w:val="center"/>
      </w:pPr>
      <w:r>
        <w:rPr>
          <w:sz w:val="20"/>
        </w:rPr>
        <w:t xml:space="preserve">бюджета Белгородской области бюджетам муниципальных</w:t>
      </w:r>
    </w:p>
    <w:p>
      <w:pPr>
        <w:pStyle w:val="2"/>
        <w:jc w:val="center"/>
      </w:pPr>
      <w:r>
        <w:rPr>
          <w:sz w:val="20"/>
        </w:rPr>
        <w:t xml:space="preserve">образований на реализацию мероприятия по закупке контейнеров</w:t>
      </w:r>
    </w:p>
    <w:p>
      <w:pPr>
        <w:pStyle w:val="2"/>
        <w:jc w:val="center"/>
      </w:pPr>
      <w:r>
        <w:rPr>
          <w:sz w:val="20"/>
        </w:rPr>
        <w:t xml:space="preserve">для раздельного накопления твердых коммунальных отходов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 </w:t>
            </w:r>
            <w:hyperlink w:history="0" r:id="rId272" w:tooltip="Постановление Правительства Белгородской обл. от 19.09.2022 N 540-пп &quot;О внесении изменений в постановление Правительства Белгородской области от 16 декабря 2013 года N 517-пп&quot; (вместе с &quot;Порядком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quot;) {КонсультантПлюс}">
              <w:r>
                <w:rPr>
                  <w:sz w:val="20"/>
                  <w:color w:val="0000ff"/>
                </w:rPr>
                <w:t xml:space="preserve">постановлением</w:t>
              </w:r>
            </w:hyperlink>
            <w:r>
              <w:rPr>
                <w:sz w:val="20"/>
                <w:color w:val="392c69"/>
              </w:rPr>
              <w:t xml:space="preserve"> Правительства Белгородской области</w:t>
            </w:r>
          </w:p>
          <w:p>
            <w:pPr>
              <w:pStyle w:val="0"/>
              <w:jc w:val="center"/>
            </w:pPr>
            <w:r>
              <w:rPr>
                <w:sz w:val="20"/>
                <w:color w:val="392c69"/>
              </w:rPr>
              <w:t xml:space="preserve">от 19.09.2022 N 540-пп)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bookmarkStart w:id="12013" w:name="P12013"/>
    <w:bookmarkEnd w:id="12013"/>
    <w:p>
      <w:pPr>
        <w:pStyle w:val="0"/>
        <w:ind w:firstLine="540"/>
        <w:jc w:val="both"/>
      </w:pPr>
      <w:r>
        <w:rPr>
          <w:sz w:val="20"/>
        </w:rPr>
        <w:t xml:space="preserve">1. Порядок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 (далее - Порядок) устанавливает цели, условия, порядок распределения и предоставления субсидий из областного бюджета бюджетам муниципальных образований Белгородской области (далее - муниципальные образования) в целях софинансирования мероприятия по закупке контейнеров для раздельного накопления твердых коммунальных отходов, устанавливаемых на контейнерных площадках, включенных в реестр мест (площадок) накопления твердых коммунальных отходов (далее - мероприятие), </w:t>
      </w:r>
      <w:hyperlink w:history="0" w:anchor="P1966" w:tooltip="Паспорт">
        <w:r>
          <w:rPr>
            <w:sz w:val="20"/>
            <w:color w:val="0000ff"/>
          </w:rPr>
          <w:t xml:space="preserve">подпрограммы 7</w:t>
        </w:r>
      </w:hyperlink>
      <w:r>
        <w:rPr>
          <w:sz w:val="20"/>
        </w:rPr>
        <w:t xml:space="preserve"> "Обращение с твердыми коммунальными отходами на территории Белгородской области" государственной программы Белгородской области "Развитие водного и лесного хозяйства Белгородской области, охрана окружающей среды", утвержденной постановлением Правительства Белгородской области от 16 декабря 2013 года N 517-пп, предоставляемых за счет субсидий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регионального проекта, обеспечивающих достижение целей, показателей и результатов федерального проекта "Комплексная система обращения с твердыми коммунальными отходами", входящего в состав национального проекта "Экология" (далее - субсидии).</w:t>
      </w:r>
    </w:p>
    <w:bookmarkStart w:id="12014" w:name="P12014"/>
    <w:bookmarkEnd w:id="12014"/>
    <w:p>
      <w:pPr>
        <w:pStyle w:val="0"/>
        <w:spacing w:before="200" w:line-rule="auto"/>
        <w:ind w:firstLine="540"/>
        <w:jc w:val="both"/>
      </w:pPr>
      <w:r>
        <w:rPr>
          <w:sz w:val="20"/>
        </w:rPr>
        <w:t xml:space="preserve">2. Субсидии предоставляются в целях софинансирования расходных обязательств муниципальных образований по осуществлению закупки контейнеров для раздельного накопления твердых коммунальных отходов (далее - ТКО), устанавливаемых на контейнерных площадках, включенных в реестр мест (площадок) накопления ТКО.</w:t>
      </w:r>
    </w:p>
    <w:p>
      <w:pPr>
        <w:pStyle w:val="0"/>
        <w:spacing w:before="200" w:line-rule="auto"/>
        <w:ind w:firstLine="540"/>
        <w:jc w:val="both"/>
      </w:pPr>
      <w:r>
        <w:rPr>
          <w:sz w:val="20"/>
        </w:rPr>
        <w:t xml:space="preserve">В Порядке под понятием "контейнер для раздельного накопления ТКО" понимаются дополнительные единицы мусоросборников, предназначенных для раздельного накопления ТКО по группам однородных отходов, технические характеристики и габаритные размеры которых соответствуют мусоросборникам, ранее используемым, преобладающим по общему количеству на территории Белгородской области и устанавливаемым на контейнерных площадках, включенных в реестр мест (площадок) накопления ТКО.</w:t>
      </w:r>
    </w:p>
    <w:p>
      <w:pPr>
        <w:pStyle w:val="0"/>
        <w:spacing w:before="200" w:line-rule="auto"/>
        <w:ind w:firstLine="540"/>
        <w:jc w:val="both"/>
      </w:pPr>
      <w:r>
        <w:rPr>
          <w:sz w:val="20"/>
        </w:rPr>
        <w:t xml:space="preserve">3. Субсидии распределяются между муниципальными образованиями по результатам отбора муниципальных образований для предоставления субсидий (далее - отбор).</w:t>
      </w:r>
    </w:p>
    <w:p>
      <w:pPr>
        <w:pStyle w:val="0"/>
        <w:spacing w:before="200" w:line-rule="auto"/>
        <w:ind w:firstLine="540"/>
        <w:jc w:val="both"/>
      </w:pPr>
      <w:r>
        <w:rPr>
          <w:sz w:val="20"/>
        </w:rPr>
        <w:t xml:space="preserve">4. Отбор осуществляется по следующим критериям:</w:t>
      </w:r>
    </w:p>
    <w:p>
      <w:pPr>
        <w:pStyle w:val="0"/>
        <w:spacing w:before="200" w:line-rule="auto"/>
        <w:ind w:firstLine="540"/>
        <w:jc w:val="both"/>
      </w:pPr>
      <w:r>
        <w:rPr>
          <w:sz w:val="20"/>
        </w:rPr>
        <w:t xml:space="preserve">- наличие муниципальной программы, в рамках которой предполагается реализация мероприятий, в целях софинансирования которых предоставляется субсидия;</w:t>
      </w:r>
    </w:p>
    <w:p>
      <w:pPr>
        <w:pStyle w:val="0"/>
        <w:spacing w:before="200" w:line-rule="auto"/>
        <w:ind w:firstLine="540"/>
        <w:jc w:val="both"/>
      </w:pPr>
      <w:r>
        <w:rPr>
          <w:sz w:val="20"/>
        </w:rPr>
        <w:t xml:space="preserve">- наличие реестра мест (площадок) накопления ТКО, в том числе раздельного накопления ТКО;</w:t>
      </w:r>
    </w:p>
    <w:p>
      <w:pPr>
        <w:pStyle w:val="0"/>
        <w:spacing w:before="200" w:line-rule="auto"/>
        <w:ind w:firstLine="540"/>
        <w:jc w:val="both"/>
      </w:pPr>
      <w:r>
        <w:rPr>
          <w:sz w:val="20"/>
        </w:rPr>
        <w:t xml:space="preserve">- наличие контейнерных площадок (с количеством контейнеров 2 и более), внесенных в реестр мест (площадок) накопления ТКО в соответствии с действующим законодательством;</w:t>
      </w:r>
    </w:p>
    <w:p>
      <w:pPr>
        <w:pStyle w:val="0"/>
        <w:spacing w:before="200" w:line-rule="auto"/>
        <w:ind w:firstLine="540"/>
        <w:jc w:val="both"/>
      </w:pPr>
      <w:r>
        <w:rPr>
          <w:sz w:val="20"/>
        </w:rPr>
        <w:t xml:space="preserve">- наличие гарантийного обязательства (в письменной форме), подписанного руководителем администрации муниципального образования, о том, что бюджетные ассигнования на исполнение расходного обязательства по осуществлению закупки контейнеров для раздельного накопления ТКО в объеме, необходимом для его исполнения, будут предусмотрены в бюджете муниципального образования Белгородской области.</w:t>
      </w:r>
    </w:p>
    <w:p>
      <w:pPr>
        <w:pStyle w:val="0"/>
        <w:spacing w:before="200" w:line-rule="auto"/>
        <w:ind w:firstLine="540"/>
        <w:jc w:val="both"/>
      </w:pPr>
      <w:r>
        <w:rPr>
          <w:sz w:val="20"/>
        </w:rPr>
        <w:t xml:space="preserve">5. Для участия в отборе муниципальные образования представляют в министерство жилищно-коммунального хозяйства Белгородской области (далее - Министерство) заявку на участие в отборе за подписью главы администрации муниципального образования (далее - заявка на участие в отборе) по форме, утвержденной приказом Министерства, с приложением к ней следующих документов:</w:t>
      </w:r>
    </w:p>
    <w:p>
      <w:pPr>
        <w:pStyle w:val="0"/>
        <w:spacing w:before="200" w:line-rule="auto"/>
        <w:ind w:firstLine="540"/>
        <w:jc w:val="both"/>
      </w:pPr>
      <w:r>
        <w:rPr>
          <w:sz w:val="20"/>
        </w:rPr>
        <w:t xml:space="preserve">а) заверенная копия постановления администрации муниципального образования об утверждении соответствующей муниципальной программы, предусматривающей реализацию мероприятия;</w:t>
      </w:r>
    </w:p>
    <w:p>
      <w:pPr>
        <w:pStyle w:val="0"/>
        <w:spacing w:before="200" w:line-rule="auto"/>
        <w:ind w:firstLine="540"/>
        <w:jc w:val="both"/>
      </w:pPr>
      <w:r>
        <w:rPr>
          <w:sz w:val="20"/>
        </w:rPr>
        <w:t xml:space="preserve">б) заверенная копия реестра мест (площадок) накопления ТКО;</w:t>
      </w:r>
    </w:p>
    <w:p>
      <w:pPr>
        <w:pStyle w:val="0"/>
        <w:spacing w:before="200" w:line-rule="auto"/>
        <w:ind w:firstLine="540"/>
        <w:jc w:val="both"/>
      </w:pPr>
      <w:r>
        <w:rPr>
          <w:sz w:val="20"/>
        </w:rPr>
        <w:t xml:space="preserve">в) адресный перечень контейнерных площадок, на которые планируется установить контейнеры для раздельного накопления ТКО, утвержденный главой администрации муниципального образования, согласованный с региональным оператором по обращению с ТКО на территории Белгородской области;</w:t>
      </w:r>
    </w:p>
    <w:p>
      <w:pPr>
        <w:pStyle w:val="0"/>
        <w:spacing w:before="200" w:line-rule="auto"/>
        <w:ind w:firstLine="540"/>
        <w:jc w:val="both"/>
      </w:pPr>
      <w:r>
        <w:rPr>
          <w:sz w:val="20"/>
        </w:rPr>
        <w:t xml:space="preserve">г) выписка из решения о бюджете муниципального образования на текущий финансовый год и плановый период о наличии финансовых средств на реализацию мероприятия или гарантийное обязательство (в письменной форме), подписанное руководителем администрации муниципального образования, о том, что бюджетные ассигнования на исполнение расходного обязательства по осуществлению закупки контейнеров для раздельного накопления ТКО в объеме, необходимом для его исполнения, будут предусмотрены в бюджете муниципального образования Белгородской области;</w:t>
      </w:r>
    </w:p>
    <w:p>
      <w:pPr>
        <w:pStyle w:val="0"/>
        <w:spacing w:before="200" w:line-rule="auto"/>
        <w:ind w:firstLine="540"/>
        <w:jc w:val="both"/>
      </w:pPr>
      <w:r>
        <w:rPr>
          <w:sz w:val="20"/>
        </w:rPr>
        <w:t xml:space="preserve">д) заверенные копии (не менее трех) коммерческих предложений на приобретение контейнеров для раздельного накопления ТКО по состоянию не позднее 30 (тридцати) дней на момент подачи заявки на участие в отборе.</w:t>
      </w:r>
    </w:p>
    <w:p>
      <w:pPr>
        <w:pStyle w:val="0"/>
        <w:spacing w:before="200" w:line-rule="auto"/>
        <w:ind w:firstLine="540"/>
        <w:jc w:val="both"/>
      </w:pPr>
      <w:r>
        <w:rPr>
          <w:sz w:val="20"/>
        </w:rPr>
        <w:t xml:space="preserve">Все расходы, связанные с подготовкой и представлением документов для участия в отборе, несут органы местного самоуправления, претендующие на получение субсидии.</w:t>
      </w:r>
    </w:p>
    <w:p>
      <w:pPr>
        <w:pStyle w:val="0"/>
        <w:spacing w:before="200" w:line-rule="auto"/>
        <w:ind w:firstLine="540"/>
        <w:jc w:val="both"/>
      </w:pPr>
      <w:r>
        <w:rPr>
          <w:sz w:val="20"/>
        </w:rPr>
        <w:t xml:space="preserve">6. Отбор проводится путем рассмотрения заявок на участие в отборе конкурсной комиссией по проведению конкурсного отбора муниципальных образований Белгородской области (далее - комиссия), состоящей из работников Министерства.</w:t>
      </w:r>
    </w:p>
    <w:p>
      <w:pPr>
        <w:pStyle w:val="0"/>
        <w:spacing w:before="200" w:line-rule="auto"/>
        <w:ind w:firstLine="540"/>
        <w:jc w:val="both"/>
      </w:pPr>
      <w:r>
        <w:rPr>
          <w:sz w:val="20"/>
        </w:rPr>
        <w:t xml:space="preserve">Комиссия состоит из председателя комиссии, членов комиссии и секретаря комиссии. Состав комиссии утверждается приказом Министерства.</w:t>
      </w:r>
    </w:p>
    <w:p>
      <w:pPr>
        <w:pStyle w:val="0"/>
        <w:spacing w:before="200" w:line-rule="auto"/>
        <w:ind w:firstLine="540"/>
        <w:jc w:val="both"/>
      </w:pPr>
      <w:r>
        <w:rPr>
          <w:sz w:val="20"/>
        </w:rPr>
        <w:t xml:space="preserve">Заседание комиссии проводится не позднее 30 (тридцати) рабочих дней после завершения срока подачи заявок на участие в отборе, установленных в </w:t>
      </w:r>
      <w:hyperlink w:history="0" w:anchor="P12035" w:tooltip="7. Для получения в очередном финансовом году субсидии подача заявок на участие в отборе осуществляется администрациями муниципальных образований до 1 июня текущего финансового года.">
        <w:r>
          <w:rPr>
            <w:sz w:val="20"/>
            <w:color w:val="0000ff"/>
          </w:rPr>
          <w:t xml:space="preserve">пунктах 7</w:t>
        </w:r>
      </w:hyperlink>
      <w:r>
        <w:rPr>
          <w:sz w:val="20"/>
        </w:rPr>
        <w:t xml:space="preserve"> и </w:t>
      </w:r>
      <w:hyperlink w:history="0" w:anchor="P12036" w:tooltip="8. Объявление о проведении отбора размещается на официальном сайте Министерства в сети Интернет (http://belgkh.ru) или направляется письменно в адрес администраций муниципальных образований.">
        <w:r>
          <w:rPr>
            <w:sz w:val="20"/>
            <w:color w:val="0000ff"/>
          </w:rPr>
          <w:t xml:space="preserve">8</w:t>
        </w:r>
      </w:hyperlink>
      <w:r>
        <w:rPr>
          <w:sz w:val="20"/>
        </w:rPr>
        <w:t xml:space="preserve"> Порядка.</w:t>
      </w:r>
    </w:p>
    <w:p>
      <w:pPr>
        <w:pStyle w:val="0"/>
        <w:spacing w:before="200" w:line-rule="auto"/>
        <w:ind w:firstLine="540"/>
        <w:jc w:val="both"/>
      </w:pPr>
      <w:r>
        <w:rPr>
          <w:sz w:val="20"/>
        </w:rPr>
        <w:t xml:space="preserve">Решения комиссии принимаются на заседании комиссии простым большинством голосов присутствующих на заседании членов комиссии. Кворум для проведения заседания комиссии составляет не менее двух третей общего числа членов комиссии. При голосовании каждый член комиссии имеет право на один голос. В случае равенства числа голосов на заседании комиссии голос председательствующего на заседании комиссии является решающим.</w:t>
      </w:r>
    </w:p>
    <w:p>
      <w:pPr>
        <w:pStyle w:val="0"/>
        <w:spacing w:before="200" w:line-rule="auto"/>
        <w:ind w:firstLine="540"/>
        <w:jc w:val="both"/>
      </w:pPr>
      <w:r>
        <w:rPr>
          <w:sz w:val="20"/>
        </w:rPr>
        <w:t xml:space="preserve">Решения комиссии оформляются не позднее 3 (трех) рабочих дней после проведения заседания комиссии в форме протокола, который подписывается председательствующим на заседании комиссии.</w:t>
      </w:r>
    </w:p>
    <w:p>
      <w:pPr>
        <w:pStyle w:val="0"/>
        <w:spacing w:before="200" w:line-rule="auto"/>
        <w:ind w:firstLine="540"/>
        <w:jc w:val="both"/>
      </w:pPr>
      <w:r>
        <w:rPr>
          <w:sz w:val="20"/>
        </w:rPr>
        <w:t xml:space="preserve">Секретарь комиссии не позднее 5 (пяти) рабочих дней после оформления решения направляет его копию в администрации муниципальных образований, участвующие в отборе.</w:t>
      </w:r>
    </w:p>
    <w:bookmarkStart w:id="12035" w:name="P12035"/>
    <w:bookmarkEnd w:id="12035"/>
    <w:p>
      <w:pPr>
        <w:pStyle w:val="0"/>
        <w:spacing w:before="200" w:line-rule="auto"/>
        <w:ind w:firstLine="540"/>
        <w:jc w:val="both"/>
      </w:pPr>
      <w:r>
        <w:rPr>
          <w:sz w:val="20"/>
        </w:rPr>
        <w:t xml:space="preserve">7. Для получения в очередном финансовом году субсидии подача заявок на участие в отборе осуществляется администрациями муниципальных образований до 1 июня текущего финансового года.</w:t>
      </w:r>
    </w:p>
    <w:bookmarkStart w:id="12036" w:name="P12036"/>
    <w:bookmarkEnd w:id="12036"/>
    <w:p>
      <w:pPr>
        <w:pStyle w:val="0"/>
        <w:spacing w:before="200" w:line-rule="auto"/>
        <w:ind w:firstLine="540"/>
        <w:jc w:val="both"/>
      </w:pPr>
      <w:r>
        <w:rPr>
          <w:sz w:val="20"/>
        </w:rPr>
        <w:t xml:space="preserve">8. Объявление о проведении отбора размещается на официальном сайте Министерства в сети Интернет (</w:t>
      </w:r>
      <w:r>
        <w:rPr>
          <w:sz w:val="20"/>
        </w:rPr>
        <w:t xml:space="preserve">http://belgkh.ru</w:t>
      </w:r>
      <w:r>
        <w:rPr>
          <w:sz w:val="20"/>
        </w:rPr>
        <w:t xml:space="preserve">) или направляется письменно в адрес администраций муниципальных образований.</w:t>
      </w:r>
    </w:p>
    <w:p>
      <w:pPr>
        <w:pStyle w:val="0"/>
        <w:spacing w:before="200" w:line-rule="auto"/>
        <w:ind w:firstLine="540"/>
        <w:jc w:val="both"/>
      </w:pPr>
      <w:r>
        <w:rPr>
          <w:sz w:val="20"/>
        </w:rPr>
        <w:t xml:space="preserve">9. Субсидии предоставляются при соблюдении муниципальными образованиями следующих условий:</w:t>
      </w:r>
    </w:p>
    <w:p>
      <w:pPr>
        <w:pStyle w:val="0"/>
        <w:spacing w:before="200" w:line-rule="auto"/>
        <w:ind w:firstLine="540"/>
        <w:jc w:val="both"/>
      </w:pPr>
      <w:r>
        <w:rPr>
          <w:sz w:val="20"/>
        </w:rPr>
        <w:t xml:space="preserve">а) наличие муниципального правового акта, утверждающего муниципальную программу, предусматривающую мероприятия, в целях финансирования которых предоставляется субсидия и которые соответствуют целям, указанным в </w:t>
      </w:r>
      <w:hyperlink w:history="0" w:anchor="P12014" w:tooltip="2. Субсидии предоставляются в целях софинансирования расходных обязательств муниципальных образований по осуществлению закупки контейнеров для раздельного накопления твердых коммунальных отходов (далее - ТКО), устанавливаемых на контейнерных площадках, включенных в реестр мест (площадок) накопления ТКО.">
        <w:r>
          <w:rPr>
            <w:sz w:val="20"/>
            <w:color w:val="0000ff"/>
          </w:rPr>
          <w:t xml:space="preserve">пункте 2</w:t>
        </w:r>
      </w:hyperlink>
      <w:r>
        <w:rPr>
          <w:sz w:val="20"/>
        </w:rPr>
        <w:t xml:space="preserve"> Порядка;</w:t>
      </w:r>
    </w:p>
    <w:p>
      <w:pPr>
        <w:pStyle w:val="0"/>
        <w:spacing w:before="200" w:line-rule="auto"/>
        <w:ind w:firstLine="540"/>
        <w:jc w:val="both"/>
      </w:pPr>
      <w:r>
        <w:rPr>
          <w:sz w:val="20"/>
        </w:rPr>
        <w:t xml:space="preserve">б) наличие в бюджете муниципального образования бюджетных ассигнований на исполнение расходного обязательства для осуществления закупки контейнеров для раздельного накопления ТКО в объеме, необходимом для его исполнения;</w:t>
      </w:r>
    </w:p>
    <w:p>
      <w:pPr>
        <w:pStyle w:val="0"/>
        <w:spacing w:before="200" w:line-rule="auto"/>
        <w:ind w:firstLine="540"/>
        <w:jc w:val="both"/>
      </w:pPr>
      <w:r>
        <w:rPr>
          <w:sz w:val="20"/>
        </w:rPr>
        <w:t xml:space="preserve">в) наличие письменного обязательства, подписанного главой администрации муниципального образования, о размещении контейнеров для накопления ТКО в местах (на площадках) накопления ТКО,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pPr>
        <w:pStyle w:val="0"/>
        <w:spacing w:before="200" w:line-rule="auto"/>
        <w:ind w:firstLine="540"/>
        <w:jc w:val="both"/>
      </w:pPr>
      <w:r>
        <w:rPr>
          <w:sz w:val="20"/>
        </w:rPr>
        <w:t xml:space="preserve">10. Субсидии предоставляются в пределах лимитов бюджетных обязательств, доведенных до Министерства как получателя средств федерального бюджета на предоставление субсидий на цели, указанные в </w:t>
      </w:r>
      <w:hyperlink w:history="0" w:anchor="P12014" w:tooltip="2. Субсидии предоставляются в целях софинансирования расходных обязательств муниципальных образований по осуществлению закупки контейнеров для раздельного накопления твердых коммунальных отходов (далее - ТКО), устанавливаемых на контейнерных площадках, включенных в реестр мест (площадок) накопления ТКО.">
        <w:r>
          <w:rPr>
            <w:sz w:val="20"/>
            <w:color w:val="0000ff"/>
          </w:rPr>
          <w:t xml:space="preserve">пункте 2</w:t>
        </w:r>
      </w:hyperlink>
      <w:r>
        <w:rPr>
          <w:sz w:val="20"/>
        </w:rPr>
        <w:t xml:space="preserve"> Порядка.</w:t>
      </w:r>
    </w:p>
    <w:p>
      <w:pPr>
        <w:pStyle w:val="0"/>
        <w:spacing w:before="200" w:line-rule="auto"/>
        <w:ind w:firstLine="540"/>
        <w:jc w:val="both"/>
      </w:pPr>
      <w:r>
        <w:rPr>
          <w:sz w:val="20"/>
        </w:rPr>
        <w:t xml:space="preserve">11. Субсидии распределяются между прошедшими отбор муниципальными образованиями в соответствии с заявками на участие в отборе.</w:t>
      </w:r>
    </w:p>
    <w:p>
      <w:pPr>
        <w:pStyle w:val="0"/>
        <w:spacing w:before="200" w:line-rule="auto"/>
        <w:ind w:firstLine="540"/>
        <w:jc w:val="both"/>
      </w:pPr>
      <w:r>
        <w:rPr>
          <w:sz w:val="20"/>
        </w:rPr>
        <w:t xml:space="preserve">Объем субсидии (Si), предоставляемой бюджету муниципального образования на осуществление мероприятия, указанного в пункте 2 Порядка, определяется по следующей формуле:</w:t>
      </w:r>
    </w:p>
    <w:p>
      <w:pPr>
        <w:pStyle w:val="0"/>
        <w:ind w:firstLine="540"/>
        <w:jc w:val="both"/>
      </w:pPr>
      <w:r>
        <w:rPr>
          <w:sz w:val="20"/>
        </w:rPr>
      </w:r>
    </w:p>
    <w:p>
      <w:pPr>
        <w:pStyle w:val="0"/>
        <w:jc w:val="center"/>
      </w:pPr>
      <w:r>
        <w:rPr>
          <w:position w:val="-20"/>
        </w:rPr>
        <w:drawing>
          <wp:inline distT="0" distB="0" distL="0" distR="0">
            <wp:extent cx="1076325" cy="3810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a:extLst>
                        <a:ext uri="{28A0092B-C50C-407E-A947-70E740481C1C}">
                          <a14:useLocalDpi xmlns:a14="http://schemas.microsoft.com/office/drawing/2010/main" val="0"/>
                        </a:ext>
                      </a:extLst>
                    </a:blip>
                    <a:srcRect/>
                    <a:stretch>
                      <a:fillRect/>
                    </a:stretch>
                  </pic:blipFill>
                  <pic:spPr bwMode="auto">
                    <a:xfrm>
                      <a:off x="0" y="0"/>
                      <a:ext cx="1076325" cy="381000"/>
                    </a:xfrm>
                    <a:prstGeom prst="rect">
                      <a:avLst/>
                    </a:prstGeom>
                    <a:noFill/>
                    <a:ln>
                      <a:noFill/>
                    </a:ln>
                  </pic:spPr>
                </pic:pic>
              </a:graphicData>
            </a:graphic>
          </wp:inline>
        </w:drawing>
      </w:r>
    </w:p>
    <w:p>
      <w:pPr>
        <w:pStyle w:val="0"/>
        <w:jc w:val="center"/>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k - общее количество мероприятий в соответствующем году в i-м муниципальном образовании;</w:t>
      </w:r>
    </w:p>
    <w:p>
      <w:pPr>
        <w:pStyle w:val="0"/>
        <w:spacing w:before="200" w:line-rule="auto"/>
        <w:ind w:firstLine="540"/>
        <w:jc w:val="both"/>
      </w:pPr>
      <w:r>
        <w:rPr>
          <w:sz w:val="20"/>
        </w:rPr>
        <w:t xml:space="preserve">Сj - размер субсидии в соответствующем году на j-й объект. Сj определяется по формуле:</w:t>
      </w:r>
    </w:p>
    <w:p>
      <w:pPr>
        <w:pStyle w:val="0"/>
        <w:jc w:val="center"/>
      </w:pPr>
      <w:r>
        <w:rPr>
          <w:sz w:val="20"/>
        </w:rPr>
      </w:r>
    </w:p>
    <w:p>
      <w:pPr>
        <w:pStyle w:val="0"/>
        <w:jc w:val="center"/>
      </w:pPr>
      <w:r>
        <w:rPr>
          <w:sz w:val="20"/>
        </w:rPr>
        <w:t xml:space="preserve">Сj = ОПj - Сfj - СМj,</w:t>
      </w:r>
    </w:p>
    <w:p>
      <w:pPr>
        <w:pStyle w:val="0"/>
        <w:ind w:firstLine="54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ОПj - общая потребность в средствах, необходимых в соответствующем году на реализацию мероприятий, указанных в </w:t>
      </w:r>
      <w:hyperlink w:history="0" w:anchor="P12013" w:tooltip="1. Порядок распределения и предоставления субсидий из областного бюджета Белгородской области бюджетам муниципальных образований на реализацию мероприятия по закупке контейнеров для раздельного накопления твердых коммунальных отходов (далее - Порядок) устанавливает цели, условия, порядок распределения и предоставления субсидий из областного бюджета бюджетам муниципальных образований Белгородской области (далее - муниципальные образования) в целях софинансирования мероприятия по закупке контейнеров для ра...">
        <w:r>
          <w:rPr>
            <w:sz w:val="20"/>
            <w:color w:val="0000ff"/>
          </w:rPr>
          <w:t xml:space="preserve">пункте 1</w:t>
        </w:r>
      </w:hyperlink>
      <w:r>
        <w:rPr>
          <w:sz w:val="20"/>
        </w:rPr>
        <w:t xml:space="preserve"> Порядка, в i-м муниципальном образовании;</w:t>
      </w:r>
    </w:p>
    <w:p>
      <w:pPr>
        <w:pStyle w:val="0"/>
        <w:spacing w:before="200" w:line-rule="auto"/>
        <w:ind w:firstLine="540"/>
        <w:jc w:val="both"/>
      </w:pPr>
      <w:r>
        <w:rPr>
          <w:sz w:val="20"/>
        </w:rPr>
        <w:t xml:space="preserve">Сfj - объем средств федерального бюджета, предусмотренных на реализацию мероприятий, указанных в пункте 1 Порядка, в i-м муниципальном образовании (при условии предоставления денежных ассигнований из средств федерального бюджета);</w:t>
      </w:r>
    </w:p>
    <w:p>
      <w:pPr>
        <w:pStyle w:val="0"/>
        <w:spacing w:before="200" w:line-rule="auto"/>
        <w:ind w:firstLine="540"/>
        <w:jc w:val="both"/>
      </w:pPr>
      <w:r>
        <w:rPr>
          <w:sz w:val="20"/>
        </w:rPr>
        <w:t xml:space="preserve">СМj - объем средств бюджета муниципального образования, предусмотренный на исполнение соответствующего расходного обязательства муниципального образования в размере, определяемом с учетом нормативного правового акта субъекта Российской Федерации об установлении предельного уровня софинансирования из областного бюджета объема расходного обязательства муниципального образования Белгородской области по муниципальным образованиям Белгородской области на очередной финансовый год и на плановый период, от общего объема расходного обязательства на закупку контейнеров для раздельного накопления ТКО в целях софинансирования в i-м муниципальном образовании.</w:t>
      </w:r>
    </w:p>
    <w:p>
      <w:pPr>
        <w:pStyle w:val="0"/>
        <w:spacing w:before="200" w:line-rule="auto"/>
        <w:ind w:firstLine="540"/>
        <w:jc w:val="both"/>
      </w:pPr>
      <w:r>
        <w:rPr>
          <w:sz w:val="20"/>
        </w:rPr>
        <w:t xml:space="preserve">Муниципальные образования вправе направлять дополнительные средства на реализацию мероприятий, указанных в рамках соглашения о предоставлении субсидий из областного бюджета бюджету муниципального образования, заключенного между Министерством и администрацией муниципального образования в государственной интегрированной информационной системе управления общественными финансами "Электронный бюджет" (далее соответственно - ГИИС "Электронный бюджет", Соглашение), за счет средств местного бюджета. При этом дополнительные средства из областного бюджета не выделяются.</w:t>
      </w:r>
    </w:p>
    <w:p>
      <w:pPr>
        <w:pStyle w:val="0"/>
        <w:spacing w:before="200" w:line-rule="auto"/>
        <w:ind w:firstLine="540"/>
        <w:jc w:val="both"/>
      </w:pPr>
      <w:r>
        <w:rPr>
          <w:sz w:val="20"/>
        </w:rPr>
        <w:t xml:space="preserve">12. Предоставление субсидий осуществляется на основании Соглашения.</w:t>
      </w:r>
    </w:p>
    <w:p>
      <w:pPr>
        <w:pStyle w:val="0"/>
        <w:spacing w:before="200" w:line-rule="auto"/>
        <w:ind w:firstLine="540"/>
        <w:jc w:val="both"/>
      </w:pPr>
      <w:r>
        <w:rPr>
          <w:sz w:val="20"/>
        </w:rPr>
        <w:t xml:space="preserve">13. Перечисление субсидии в бюджет муниципального образования осуществляется на основании заявки муниципального района или городского округа Белгородской области на перечисление средств по форме и в срок, которые установлены Министерством - главным распорядителем средств областного бюджета, а также перечня документов, состав которых указывается в Соглашении.</w:t>
      </w:r>
    </w:p>
    <w:p>
      <w:pPr>
        <w:pStyle w:val="0"/>
        <w:spacing w:before="200" w:line-rule="auto"/>
        <w:ind w:firstLine="540"/>
        <w:jc w:val="both"/>
      </w:pPr>
      <w:r>
        <w:rPr>
          <w:sz w:val="20"/>
        </w:rPr>
        <w:t xml:space="preserve">В заявке на перечисление средств указываются необходимый объем средств в пределах предусмотренной субсидии, на осуществление которого заявка предоставляется, в целях исполнения соответствующего расходного обязательства с приложением копий подтверждающих документов о фактически выполненных работах (электронные копии контрактов (договоров) на выполнение работ и (или) услуг (однократно), акт приема-передачи) в электронном виде.</w:t>
      </w:r>
    </w:p>
    <w:p>
      <w:pPr>
        <w:pStyle w:val="0"/>
        <w:spacing w:before="200" w:line-rule="auto"/>
        <w:ind w:firstLine="540"/>
        <w:jc w:val="both"/>
      </w:pPr>
      <w:r>
        <w:rPr>
          <w:sz w:val="20"/>
        </w:rPr>
        <w:t xml:space="preserve">Министерство в течение 5 (пяти) календарных дней со дня поступления от муниципальных образований заявок на перечисление средств формирует на бумажном носителе и в электронном виде и направляет в министерство финансов и бюджетной политики Белгородской области сводную бюджетную заявку на финансирование фактически произведенных расходов за счет средств областного бюджета.</w:t>
      </w:r>
    </w:p>
    <w:p>
      <w:pPr>
        <w:pStyle w:val="0"/>
        <w:spacing w:before="200" w:line-rule="auto"/>
        <w:ind w:firstLine="540"/>
        <w:jc w:val="both"/>
      </w:pPr>
      <w:r>
        <w:rPr>
          <w:sz w:val="20"/>
        </w:rPr>
        <w:t xml:space="preserve">Министерство финансов и бюджетной политики Белгородской области в течение 3 (трех) рабочих дней со дня получения от Министерства сводной заявки на бумажном носителе и (или) в электронном виде с приложением подтверждающих документов осуществляет кассовые выплаты со счета областного бюджета.</w:t>
      </w:r>
    </w:p>
    <w:p>
      <w:pPr>
        <w:pStyle w:val="0"/>
        <w:spacing w:before="200" w:line-rule="auto"/>
        <w:ind w:firstLine="540"/>
        <w:jc w:val="both"/>
      </w:pPr>
      <w:r>
        <w:rPr>
          <w:sz w:val="20"/>
        </w:rPr>
        <w:t xml:space="preserve">14. Расходование муниципальными образованиями предоставленных субсидий осуществляется в порядке, установленном бюджетным законодательством Российской Федерации и законодательством Белгородской области для исполнения бюджетов муниципальных образований.</w:t>
      </w:r>
    </w:p>
    <w:p>
      <w:pPr>
        <w:pStyle w:val="0"/>
        <w:spacing w:before="200" w:line-rule="auto"/>
        <w:ind w:firstLine="540"/>
        <w:jc w:val="both"/>
      </w:pPr>
      <w:r>
        <w:rPr>
          <w:sz w:val="20"/>
        </w:rPr>
        <w:t xml:space="preserve">15. Результатом использования субсидии является количество закупленных муниципальным образованием контейнеров для раздельного накопления ТКО, установленных на контейнерных площадках, включенных в реестр мест (площадок) накопления ТКО.</w:t>
      </w:r>
    </w:p>
    <w:p>
      <w:pPr>
        <w:pStyle w:val="0"/>
        <w:spacing w:before="200" w:line-rule="auto"/>
        <w:ind w:firstLine="540"/>
        <w:jc w:val="both"/>
      </w:pPr>
      <w:r>
        <w:rPr>
          <w:sz w:val="20"/>
        </w:rPr>
        <w:t xml:space="preserve">Плановое значение результата использования субсидии устанавливается Соглашением.</w:t>
      </w:r>
    </w:p>
    <w:p>
      <w:pPr>
        <w:pStyle w:val="0"/>
        <w:spacing w:before="200" w:line-rule="auto"/>
        <w:ind w:firstLine="540"/>
        <w:jc w:val="both"/>
      </w:pPr>
      <w:r>
        <w:rPr>
          <w:sz w:val="20"/>
        </w:rPr>
        <w:t xml:space="preserve">Оценка эффективности использования субсидий осуществляется Министерством путем сравнения установленного Соглашением планового значения результата использования субсидии и фактически достигнутого значения результата использования субсидии.</w:t>
      </w:r>
    </w:p>
    <w:p>
      <w:pPr>
        <w:pStyle w:val="0"/>
        <w:spacing w:before="200" w:line-rule="auto"/>
        <w:ind w:firstLine="540"/>
        <w:jc w:val="both"/>
      </w:pPr>
      <w:r>
        <w:rPr>
          <w:sz w:val="20"/>
        </w:rPr>
        <w:t xml:space="preserve">16. Администрация муниципального образования формирует в ГИИС "Электронный бюджет" следующие отчеты:</w:t>
      </w:r>
    </w:p>
    <w:p>
      <w:pPr>
        <w:pStyle w:val="0"/>
        <w:spacing w:before="200" w:line-rule="auto"/>
        <w:ind w:firstLine="540"/>
        <w:jc w:val="both"/>
      </w:pPr>
      <w:r>
        <w:rPr>
          <w:sz w:val="20"/>
        </w:rPr>
        <w:t xml:space="preserve">а) до 12 января года, следующего за годом предоставления субсидии, - отчет об осуществлении расходов бюджета муниципального образования области, в целях софинансирования которых предоставляется субсидия;</w:t>
      </w:r>
    </w:p>
    <w:p>
      <w:pPr>
        <w:pStyle w:val="0"/>
        <w:spacing w:before="200" w:line-rule="auto"/>
        <w:ind w:firstLine="540"/>
        <w:jc w:val="both"/>
      </w:pPr>
      <w:r>
        <w:rPr>
          <w:sz w:val="20"/>
        </w:rPr>
        <w:t xml:space="preserve">б) до 10 апреля года, следующего за годом предоставления субсидии, - </w:t>
      </w:r>
      <w:hyperlink w:history="0" w:anchor="P12096" w:tooltip="Отчет">
        <w:r>
          <w:rPr>
            <w:sz w:val="20"/>
            <w:color w:val="0000ff"/>
          </w:rPr>
          <w:t xml:space="preserve">отчет</w:t>
        </w:r>
      </w:hyperlink>
      <w:r>
        <w:rPr>
          <w:sz w:val="20"/>
        </w:rPr>
        <w:t xml:space="preserve"> о достижении результата использования субсидии по форме согласно приложению к Порядку;</w:t>
      </w:r>
    </w:p>
    <w:p>
      <w:pPr>
        <w:pStyle w:val="0"/>
        <w:spacing w:before="200" w:line-rule="auto"/>
        <w:ind w:firstLine="540"/>
        <w:jc w:val="both"/>
      </w:pPr>
      <w:r>
        <w:rPr>
          <w:sz w:val="20"/>
        </w:rPr>
        <w:t xml:space="preserve">в) не позднее 12 января года, следующего за годом, в котором была получена субсидия, - с сопроводительным письмом посредством системы электронного документооборота либо в виде электронных документов в формате "pdf" на USB-флеш-накопителе:</w:t>
      </w:r>
    </w:p>
    <w:p>
      <w:pPr>
        <w:pStyle w:val="0"/>
        <w:spacing w:before="200" w:line-rule="auto"/>
        <w:ind w:firstLine="540"/>
        <w:jc w:val="both"/>
      </w:pPr>
      <w:r>
        <w:rPr>
          <w:sz w:val="20"/>
        </w:rPr>
        <w:t xml:space="preserve">- копии муниципальных контрактов, заключенных в соответствии с Федеральным </w:t>
      </w:r>
      <w:hyperlink w:history="0" r:id="rId274" w:tooltip="Федеральный закон от 05.04.2013 N 44-ФЗ (ред. от 28.04.2023) &quot;О контрактной системе в сфере закупок товаров, работ, услуг для обеспечения государственных и муниципальных нужд&quot; {КонсультантПлюс}">
        <w:r>
          <w:rPr>
            <w:sz w:val="20"/>
            <w:color w:val="0000ff"/>
          </w:rPr>
          <w:t xml:space="preserve">законом</w:t>
        </w:r>
      </w:hyperlink>
      <w:r>
        <w:rPr>
          <w:sz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муниципальный контракт);</w:t>
      </w:r>
    </w:p>
    <w:p>
      <w:pPr>
        <w:pStyle w:val="0"/>
        <w:spacing w:before="200" w:line-rule="auto"/>
        <w:ind w:firstLine="540"/>
        <w:jc w:val="both"/>
      </w:pPr>
      <w:r>
        <w:rPr>
          <w:sz w:val="20"/>
        </w:rPr>
        <w:t xml:space="preserve">- копии платежных документов, подтверждающих оплату поставленных товаров, выполненных работ, услуг из средств местного бюджета;</w:t>
      </w:r>
    </w:p>
    <w:p>
      <w:pPr>
        <w:pStyle w:val="0"/>
        <w:spacing w:before="200" w:line-rule="auto"/>
        <w:ind w:firstLine="540"/>
        <w:jc w:val="both"/>
      </w:pPr>
      <w:r>
        <w:rPr>
          <w:sz w:val="20"/>
        </w:rPr>
        <w:t xml:space="preserve">- копии документов, подтверждающих поставку товаров, выполнение работ, оказание услуг по заключенному муниципальному контракту;</w:t>
      </w:r>
    </w:p>
    <w:p>
      <w:pPr>
        <w:pStyle w:val="0"/>
        <w:spacing w:before="200" w:line-rule="auto"/>
        <w:ind w:firstLine="540"/>
        <w:jc w:val="both"/>
      </w:pPr>
      <w:r>
        <w:rPr>
          <w:sz w:val="20"/>
        </w:rPr>
        <w:t xml:space="preserve">- копии документов, подтверждающих достижение показателя результативности использования субсидии, в том числе выписку из реестра мест (площадок) накопления ТКО.</w:t>
      </w:r>
    </w:p>
    <w:p>
      <w:pPr>
        <w:pStyle w:val="0"/>
        <w:spacing w:before="200" w:line-rule="auto"/>
        <w:ind w:firstLine="540"/>
        <w:jc w:val="both"/>
      </w:pPr>
      <w:r>
        <w:rPr>
          <w:sz w:val="20"/>
        </w:rPr>
        <w:t xml:space="preserve">При представлении финансовых отчетов, документов и сведений администрации муниципальных образований обеспечивают согласование данных, содержащихся в них, с финансовыми органами муниципальных образований.</w:t>
      </w:r>
    </w:p>
    <w:p>
      <w:pPr>
        <w:pStyle w:val="0"/>
        <w:spacing w:before="200" w:line-rule="auto"/>
        <w:ind w:firstLine="540"/>
        <w:jc w:val="both"/>
      </w:pPr>
      <w:r>
        <w:rPr>
          <w:sz w:val="20"/>
        </w:rPr>
        <w:t xml:space="preserve">17. В случае если муниципальным образованием по состоянию на 31 декабря года предоставления субсидии не достигнуты значения показателей результативности предоставления субсидии, установленные Соглашением, а также в случае использования субсидии не по целевому назначению, соответствующие средства подлежат возврату в областной бюджет в соответствии с действующим законодательством в течение 10 (десяти) рабочих дней со дня получения требования Министерства о возврате субсидии.</w:t>
      </w:r>
    </w:p>
    <w:p>
      <w:pPr>
        <w:pStyle w:val="0"/>
        <w:spacing w:before="200" w:line-rule="auto"/>
        <w:ind w:firstLine="540"/>
        <w:jc w:val="both"/>
      </w:pPr>
      <w:r>
        <w:rPr>
          <w:sz w:val="20"/>
        </w:rPr>
        <w:t xml:space="preserve">18. Порядок и условия возврата средств из бюджета муниципального образования в областной бюджет в случае нарушения муниципальным образованием обязательств, предусмотренных Соглашением, а также основания для освобождения муниципального образования от применения мер финансовой ответственности определяются в соответствии с Соглашением.</w:t>
      </w:r>
    </w:p>
    <w:p>
      <w:pPr>
        <w:pStyle w:val="0"/>
        <w:spacing w:before="200" w:line-rule="auto"/>
        <w:ind w:firstLine="540"/>
        <w:jc w:val="both"/>
      </w:pPr>
      <w:r>
        <w:rPr>
          <w:sz w:val="20"/>
        </w:rPr>
        <w:t xml:space="preserve">19. Ответственность за достоверность сведений, представленных в Министерство в составе отчета об осуществлении расходов бюджета муниципального образования, отчета о достижении значений результата использования субсидии и заявки на участие в отборе, возлагается на администрацию муниципального образования.</w:t>
      </w:r>
    </w:p>
    <w:p>
      <w:pPr>
        <w:pStyle w:val="0"/>
        <w:spacing w:before="200" w:line-rule="auto"/>
        <w:ind w:firstLine="540"/>
        <w:jc w:val="both"/>
      </w:pPr>
      <w:r>
        <w:rPr>
          <w:sz w:val="20"/>
        </w:rPr>
        <w:t xml:space="preserve">20. Контроль за соблюдением муниципальными образованиями условий предоставления субсидий осуществляется Министерством и уполномоченными органами государственного финансового контроля.</w:t>
      </w:r>
    </w:p>
    <w:p>
      <w:pPr>
        <w:pStyle w:val="0"/>
        <w:spacing w:before="200" w:line-rule="auto"/>
        <w:ind w:firstLine="540"/>
        <w:jc w:val="both"/>
      </w:pPr>
      <w:r>
        <w:rPr>
          <w:sz w:val="20"/>
        </w:rPr>
        <w:t xml:space="preserve">21. Муниципальные образования несут ответственность за целевое использование субсидий и достоверность сведений и документов, представляемых в Министерство в соответствии с Порядком и Соглашением.</w:t>
      </w:r>
    </w:p>
    <w:p>
      <w:pPr>
        <w:pStyle w:val="0"/>
        <w:ind w:firstLine="540"/>
        <w:jc w:val="both"/>
      </w:pPr>
      <w:r>
        <w:rPr>
          <w:sz w:val="20"/>
        </w:rPr>
      </w:r>
    </w:p>
    <w:p>
      <w:pPr>
        <w:pStyle w:val="0"/>
      </w:pPr>
      <w:r>
        <w:rPr>
          <w:sz w:val="20"/>
        </w:rPr>
      </w:r>
    </w:p>
    <w:p>
      <w:pPr>
        <w:pStyle w:val="0"/>
        <w:jc w:val="center"/>
      </w:pPr>
      <w:r>
        <w:rPr>
          <w:sz w:val="20"/>
        </w:rPr>
      </w:r>
    </w:p>
    <w:p>
      <w:pPr>
        <w:pStyle w:val="0"/>
        <w:jc w:val="center"/>
      </w:pPr>
      <w:r>
        <w:rPr>
          <w:sz w:val="20"/>
        </w:rPr>
      </w:r>
    </w:p>
    <w:p>
      <w:pPr>
        <w:pStyle w:val="0"/>
        <w:jc w:val="center"/>
      </w:pPr>
      <w:r>
        <w:rPr>
          <w:sz w:val="20"/>
        </w:rPr>
      </w:r>
    </w:p>
    <w:p>
      <w:pPr>
        <w:pStyle w:val="0"/>
        <w:outlineLvl w:val="2"/>
        <w:jc w:val="right"/>
      </w:pPr>
      <w:r>
        <w:rPr>
          <w:sz w:val="20"/>
        </w:rPr>
        <w:t xml:space="preserve">Приложение</w:t>
      </w:r>
    </w:p>
    <w:p>
      <w:pPr>
        <w:pStyle w:val="0"/>
        <w:jc w:val="right"/>
      </w:pPr>
      <w:r>
        <w:rPr>
          <w:sz w:val="20"/>
        </w:rPr>
        <w:t xml:space="preserve">к Порядку распределения и предоставления</w:t>
      </w:r>
    </w:p>
    <w:p>
      <w:pPr>
        <w:pStyle w:val="0"/>
        <w:jc w:val="right"/>
      </w:pPr>
      <w:r>
        <w:rPr>
          <w:sz w:val="20"/>
        </w:rPr>
        <w:t xml:space="preserve">субсидий из областного бюджета Белгородской</w:t>
      </w:r>
    </w:p>
    <w:p>
      <w:pPr>
        <w:pStyle w:val="0"/>
        <w:jc w:val="right"/>
      </w:pPr>
      <w:r>
        <w:rPr>
          <w:sz w:val="20"/>
        </w:rPr>
        <w:t xml:space="preserve">области бюджетам муниципальных образований</w:t>
      </w:r>
    </w:p>
    <w:p>
      <w:pPr>
        <w:pStyle w:val="0"/>
        <w:jc w:val="right"/>
      </w:pPr>
      <w:r>
        <w:rPr>
          <w:sz w:val="20"/>
        </w:rPr>
        <w:t xml:space="preserve">на реализацию мероприятия по закупке</w:t>
      </w:r>
    </w:p>
    <w:p>
      <w:pPr>
        <w:pStyle w:val="0"/>
        <w:jc w:val="right"/>
      </w:pPr>
      <w:r>
        <w:rPr>
          <w:sz w:val="20"/>
        </w:rPr>
        <w:t xml:space="preserve">контейнеров для раздельного накопления</w:t>
      </w:r>
    </w:p>
    <w:p>
      <w:pPr>
        <w:pStyle w:val="0"/>
        <w:jc w:val="right"/>
      </w:pPr>
      <w:r>
        <w:rPr>
          <w:sz w:val="20"/>
        </w:rPr>
        <w:t xml:space="preserve">твердых коммунальных отходов</w:t>
      </w:r>
    </w:p>
    <w:p>
      <w:pPr>
        <w:pStyle w:val="0"/>
        <w:jc w:val="right"/>
      </w:pPr>
      <w:r>
        <w:rPr>
          <w:sz w:val="20"/>
        </w:rPr>
      </w:r>
    </w:p>
    <w:p>
      <w:pPr>
        <w:pStyle w:val="0"/>
        <w:jc w:val="right"/>
      </w:pPr>
      <w:r>
        <w:rPr>
          <w:sz w:val="20"/>
        </w:rPr>
        <w:t xml:space="preserve">Форма</w:t>
      </w:r>
    </w:p>
    <w:p>
      <w:pPr>
        <w:pStyle w:val="0"/>
        <w:ind w:firstLine="540"/>
        <w:jc w:val="both"/>
      </w:pPr>
      <w:r>
        <w:rPr>
          <w:sz w:val="20"/>
        </w:rPr>
      </w:r>
    </w:p>
    <w:bookmarkStart w:id="12096" w:name="P12096"/>
    <w:bookmarkEnd w:id="12096"/>
    <w:p>
      <w:pPr>
        <w:pStyle w:val="0"/>
        <w:jc w:val="center"/>
      </w:pPr>
      <w:r>
        <w:rPr>
          <w:sz w:val="20"/>
        </w:rPr>
        <w:t xml:space="preserve">Отчет</w:t>
      </w:r>
    </w:p>
    <w:p>
      <w:pPr>
        <w:pStyle w:val="0"/>
        <w:jc w:val="center"/>
      </w:pPr>
      <w:r>
        <w:rPr>
          <w:sz w:val="20"/>
        </w:rPr>
        <w:t xml:space="preserve">о достижении значения показателя результативности</w:t>
      </w:r>
    </w:p>
    <w:p>
      <w:pPr>
        <w:pStyle w:val="0"/>
        <w:jc w:val="center"/>
      </w:pPr>
      <w:r>
        <w:rPr>
          <w:sz w:val="20"/>
        </w:rPr>
        <w:t xml:space="preserve">использования субсидии по состоянию</w:t>
      </w:r>
    </w:p>
    <w:p>
      <w:pPr>
        <w:pStyle w:val="0"/>
        <w:jc w:val="center"/>
      </w:pPr>
      <w:r>
        <w:rPr>
          <w:sz w:val="20"/>
        </w:rPr>
        <w:t xml:space="preserve">на _____________ 202__ года</w:t>
      </w:r>
    </w:p>
    <w:p>
      <w:pPr>
        <w:pStyle w:val="0"/>
        <w:ind w:firstLine="540"/>
        <w:jc w:val="both"/>
      </w:pPr>
      <w:r>
        <w:rPr>
          <w:sz w:val="20"/>
        </w:rPr>
      </w:r>
    </w:p>
    <w:tbl>
      <w:tblPr>
        <w:tblInd w:w="0" w:type="dxa"/>
        <w:tblLayout w:type="fixed"/>
        <w:tblCellMar>
          <w:top w:w="102" w:type="dxa"/>
          <w:left w:w="62" w:type="dxa"/>
          <w:bottom w:w="102" w:type="dxa"/>
          <w:right w:w="62" w:type="dxa"/>
        </w:tblCellMar>
      </w:tblPr>
      <w:tblGrid>
        <w:gridCol w:w="9070"/>
      </w:tblGrid>
      <w:tr>
        <w:tc>
          <w:tcPr>
            <w:tcW w:w="9070" w:type="dxa"/>
            <w:tcBorders>
              <w:top w:val="nil"/>
              <w:left w:val="nil"/>
              <w:bottom w:val="nil"/>
              <w:right w:val="nil"/>
            </w:tcBorders>
          </w:tcPr>
          <w:p>
            <w:pPr>
              <w:pStyle w:val="0"/>
              <w:jc w:val="both"/>
            </w:pPr>
            <w:r>
              <w:rPr>
                <w:sz w:val="20"/>
              </w:rPr>
              <w:t xml:space="preserve">Орган местного самоуправления муниципального образования, расположенного на территории Белгородской области (далее - муниципальное образование): ____________________________________________________________________.</w:t>
            </w:r>
          </w:p>
          <w:p>
            <w:pPr>
              <w:pStyle w:val="0"/>
            </w:pPr>
            <w:r>
              <w:rPr>
                <w:sz w:val="20"/>
              </w:rPr>
              <w:t xml:space="preserve">Периодичность: _____________________________________________________.</w:t>
            </w:r>
          </w:p>
        </w:tc>
      </w:tr>
    </w:tbl>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1587"/>
        <w:gridCol w:w="1639"/>
        <w:gridCol w:w="1219"/>
        <w:gridCol w:w="1414"/>
        <w:gridCol w:w="1399"/>
        <w:gridCol w:w="1309"/>
      </w:tblGrid>
      <w:tr>
        <w:tc>
          <w:tcPr>
            <w:tcW w:w="454" w:type="dxa"/>
            <w:vAlign w:val="center"/>
          </w:tcPr>
          <w:p>
            <w:pPr>
              <w:pStyle w:val="0"/>
              <w:jc w:val="center"/>
            </w:pPr>
            <w:r>
              <w:rPr>
                <w:sz w:val="20"/>
              </w:rPr>
              <w:t xml:space="preserve">N</w:t>
            </w:r>
          </w:p>
          <w:p>
            <w:pPr>
              <w:pStyle w:val="0"/>
              <w:jc w:val="center"/>
            </w:pPr>
            <w:r>
              <w:rPr>
                <w:sz w:val="20"/>
              </w:rPr>
              <w:t xml:space="preserve">п/п</w:t>
            </w:r>
          </w:p>
        </w:tc>
        <w:tc>
          <w:tcPr>
            <w:tcW w:w="1587" w:type="dxa"/>
            <w:vAlign w:val="center"/>
          </w:tcPr>
          <w:p>
            <w:pPr>
              <w:pStyle w:val="0"/>
              <w:jc w:val="center"/>
            </w:pPr>
            <w:r>
              <w:rPr>
                <w:sz w:val="20"/>
              </w:rPr>
              <w:t xml:space="preserve">Наименование показателя</w:t>
            </w:r>
          </w:p>
        </w:tc>
        <w:tc>
          <w:tcPr>
            <w:tcW w:w="1639" w:type="dxa"/>
            <w:vAlign w:val="center"/>
          </w:tcPr>
          <w:p>
            <w:pPr>
              <w:pStyle w:val="0"/>
              <w:jc w:val="center"/>
            </w:pPr>
            <w:r>
              <w:rPr>
                <w:sz w:val="20"/>
              </w:rPr>
              <w:t xml:space="preserve">Наименование проекта (мероприятия)</w:t>
            </w:r>
          </w:p>
        </w:tc>
        <w:tc>
          <w:tcPr>
            <w:tcW w:w="1219" w:type="dxa"/>
            <w:vAlign w:val="center"/>
          </w:tcPr>
          <w:p>
            <w:pPr>
              <w:pStyle w:val="0"/>
              <w:jc w:val="center"/>
            </w:pPr>
            <w:r>
              <w:rPr>
                <w:sz w:val="20"/>
              </w:rPr>
              <w:t xml:space="preserve">Плановое значение показателя</w:t>
            </w:r>
          </w:p>
        </w:tc>
        <w:tc>
          <w:tcPr>
            <w:tcW w:w="1414" w:type="dxa"/>
            <w:vAlign w:val="center"/>
          </w:tcPr>
          <w:p>
            <w:pPr>
              <w:pStyle w:val="0"/>
              <w:jc w:val="center"/>
            </w:pPr>
            <w:r>
              <w:rPr>
                <w:sz w:val="20"/>
              </w:rPr>
              <w:t xml:space="preserve">Достигнутое значение показателя по состоянию на отчетную дату</w:t>
            </w:r>
          </w:p>
        </w:tc>
        <w:tc>
          <w:tcPr>
            <w:tcW w:w="1399" w:type="dxa"/>
            <w:vAlign w:val="center"/>
          </w:tcPr>
          <w:p>
            <w:pPr>
              <w:pStyle w:val="0"/>
              <w:jc w:val="center"/>
            </w:pPr>
            <w:r>
              <w:rPr>
                <w:sz w:val="20"/>
              </w:rPr>
              <w:t xml:space="preserve">Процент выполнения плана</w:t>
            </w:r>
          </w:p>
        </w:tc>
        <w:tc>
          <w:tcPr>
            <w:tcW w:w="1309" w:type="dxa"/>
            <w:vAlign w:val="center"/>
          </w:tcPr>
          <w:p>
            <w:pPr>
              <w:pStyle w:val="0"/>
              <w:jc w:val="center"/>
            </w:pPr>
            <w:r>
              <w:rPr>
                <w:sz w:val="20"/>
              </w:rPr>
              <w:t xml:space="preserve">Причина отклонения значения показателя от планового значения показателя</w:t>
            </w:r>
          </w:p>
        </w:tc>
      </w:tr>
      <w:tr>
        <w:tc>
          <w:tcPr>
            <w:tcW w:w="454" w:type="dxa"/>
          </w:tcPr>
          <w:p>
            <w:pPr>
              <w:pStyle w:val="0"/>
            </w:pPr>
            <w:r>
              <w:rPr>
                <w:sz w:val="20"/>
              </w:rPr>
            </w:r>
          </w:p>
        </w:tc>
        <w:tc>
          <w:tcPr>
            <w:tcW w:w="1587" w:type="dxa"/>
          </w:tcPr>
          <w:p>
            <w:pPr>
              <w:pStyle w:val="0"/>
            </w:pPr>
            <w:r>
              <w:rPr>
                <w:sz w:val="20"/>
              </w:rPr>
            </w:r>
          </w:p>
        </w:tc>
        <w:tc>
          <w:tcPr>
            <w:tcW w:w="1639" w:type="dxa"/>
          </w:tcPr>
          <w:p>
            <w:pPr>
              <w:pStyle w:val="0"/>
            </w:pPr>
            <w:r>
              <w:rPr>
                <w:sz w:val="20"/>
              </w:rPr>
            </w:r>
          </w:p>
        </w:tc>
        <w:tc>
          <w:tcPr>
            <w:tcW w:w="1219" w:type="dxa"/>
          </w:tcPr>
          <w:p>
            <w:pPr>
              <w:pStyle w:val="0"/>
            </w:pPr>
            <w:r>
              <w:rPr>
                <w:sz w:val="20"/>
              </w:rPr>
            </w:r>
          </w:p>
        </w:tc>
        <w:tc>
          <w:tcPr>
            <w:tcW w:w="1414" w:type="dxa"/>
          </w:tcPr>
          <w:p>
            <w:pPr>
              <w:pStyle w:val="0"/>
            </w:pPr>
            <w:r>
              <w:rPr>
                <w:sz w:val="20"/>
              </w:rPr>
            </w:r>
          </w:p>
        </w:tc>
        <w:tc>
          <w:tcPr>
            <w:tcW w:w="1399" w:type="dxa"/>
          </w:tcPr>
          <w:p>
            <w:pPr>
              <w:pStyle w:val="0"/>
            </w:pPr>
            <w:r>
              <w:rPr>
                <w:sz w:val="20"/>
              </w:rPr>
            </w:r>
          </w:p>
        </w:tc>
        <w:tc>
          <w:tcPr>
            <w:tcW w:w="1309" w:type="dxa"/>
          </w:tcPr>
          <w:p>
            <w:pPr>
              <w:pStyle w:val="0"/>
            </w:pPr>
            <w:r>
              <w:rPr>
                <w:sz w:val="20"/>
              </w:rPr>
            </w:r>
          </w:p>
        </w:tc>
      </w:tr>
    </w:tbl>
    <w:p>
      <w:pPr>
        <w:pStyle w:val="0"/>
        <w:ind w:firstLine="540"/>
        <w:jc w:val="both"/>
      </w:pPr>
      <w:r>
        <w:rPr>
          <w:sz w:val="20"/>
        </w:rPr>
      </w:r>
    </w:p>
    <w:tbl>
      <w:tblPr>
        <w:tblInd w:w="0" w:type="dxa"/>
        <w:tblLayout w:type="fixed"/>
        <w:tblCellMar>
          <w:top w:w="102" w:type="dxa"/>
          <w:left w:w="62" w:type="dxa"/>
          <w:bottom w:w="102" w:type="dxa"/>
          <w:right w:w="62" w:type="dxa"/>
        </w:tblCellMar>
      </w:tblPr>
      <w:tblGrid>
        <w:gridCol w:w="3402"/>
        <w:gridCol w:w="2835"/>
        <w:gridCol w:w="2778"/>
      </w:tblGrid>
      <w:tr>
        <w:tc>
          <w:tcPr>
            <w:tcW w:w="3402" w:type="dxa"/>
            <w:tcBorders>
              <w:top w:val="nil"/>
              <w:left w:val="nil"/>
              <w:bottom w:val="nil"/>
              <w:right w:val="nil"/>
            </w:tcBorders>
          </w:tcPr>
          <w:p>
            <w:pPr>
              <w:pStyle w:val="0"/>
              <w:jc w:val="center"/>
            </w:pPr>
            <w:r>
              <w:rPr>
                <w:sz w:val="20"/>
              </w:rPr>
              <w:t xml:space="preserve">Глава (глава администрации) муниципального образования</w:t>
            </w:r>
          </w:p>
          <w:p>
            <w:pPr>
              <w:pStyle w:val="0"/>
              <w:jc w:val="center"/>
            </w:pPr>
            <w:r>
              <w:rPr>
                <w:sz w:val="20"/>
              </w:rPr>
              <w:t xml:space="preserve">М.П.</w:t>
            </w:r>
          </w:p>
        </w:tc>
        <w:tc>
          <w:tcPr>
            <w:tcW w:w="2835" w:type="dxa"/>
            <w:vAlign w:val="bottom"/>
            <w:tcBorders>
              <w:top w:val="nil"/>
              <w:left w:val="nil"/>
              <w:bottom w:val="nil"/>
              <w:right w:val="nil"/>
            </w:tcBorders>
          </w:tcPr>
          <w:p>
            <w:pPr>
              <w:pStyle w:val="0"/>
              <w:jc w:val="center"/>
            </w:pPr>
            <w:r>
              <w:rPr>
                <w:sz w:val="20"/>
              </w:rPr>
              <w:t xml:space="preserve">____________________</w:t>
            </w:r>
          </w:p>
          <w:p>
            <w:pPr>
              <w:pStyle w:val="0"/>
              <w:jc w:val="center"/>
            </w:pPr>
            <w:r>
              <w:rPr>
                <w:sz w:val="20"/>
              </w:rPr>
              <w:t xml:space="preserve">(подпись)</w:t>
            </w:r>
          </w:p>
        </w:tc>
        <w:tc>
          <w:tcPr>
            <w:tcW w:w="2778" w:type="dxa"/>
            <w:vAlign w:val="bottom"/>
            <w:tcBorders>
              <w:top w:val="nil"/>
              <w:left w:val="nil"/>
              <w:bottom w:val="nil"/>
              <w:right w:val="nil"/>
            </w:tcBorders>
          </w:tcPr>
          <w:p>
            <w:pPr>
              <w:pStyle w:val="0"/>
              <w:jc w:val="center"/>
            </w:pPr>
            <w:r>
              <w:rPr>
                <w:sz w:val="20"/>
              </w:rPr>
              <w:t xml:space="preserve">__________________</w:t>
            </w:r>
          </w:p>
          <w:p>
            <w:pPr>
              <w:pStyle w:val="0"/>
              <w:jc w:val="center"/>
            </w:pPr>
            <w:r>
              <w:rPr>
                <w:sz w:val="20"/>
              </w:rPr>
              <w:t xml:space="preserve">(Ф.И.О.)</w:t>
            </w:r>
          </w:p>
        </w:tc>
      </w:tr>
    </w:tbl>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16.12.2013 N 517-пп</w:t>
            <w:br/>
            <w:t>(ред. от 06.02.2023)</w:t>
            <w:br/>
            <w:t>"Об утверждении государственно...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16.12.2013 N 517-пп</w:t>
            <w:br/>
            <w:t>(ред. от 06.02.2023)</w:t>
            <w:br/>
            <w:t>"Об утверждении государственно...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4B1B5FF9E386AB4CF7304D75E657C5E0F6678254E1C16DFD6B6A3D31C2A234E642096587D4FCCBD64507D260C5A34EE25CD0B9E33559094A724D0EN0O5J" TargetMode = "External"/>
	<Relationship Id="rId8" Type="http://schemas.openxmlformats.org/officeDocument/2006/relationships/hyperlink" Target="consultantplus://offline/ref=4B1B5FF9E386AB4CF7304D75E657C5E0F6678254E0C16AF86A6A3D31C2A234E642096587D4FCCBD64507D260C5A34EE25CD0B9E33559094A724D0EN0O5J" TargetMode = "External"/>
	<Relationship Id="rId9" Type="http://schemas.openxmlformats.org/officeDocument/2006/relationships/hyperlink" Target="consultantplus://offline/ref=4B1B5FF9E386AB4CF7304D75E657C5E0F6678254E0C765F96D6A3D31C2A234E642096587D4FCCBD64507D260C5A34EE25CD0B9E33559094A724D0EN0O5J" TargetMode = "External"/>
	<Relationship Id="rId10" Type="http://schemas.openxmlformats.org/officeDocument/2006/relationships/hyperlink" Target="consultantplus://offline/ref=4B1B5FF9E386AB4CF7304D75E657C5E0F6678254E3C26CFE676A3D31C2A234E642096587D4FCCBD64507D260C5A34EE25CD0B9E33559094A724D0EN0O5J" TargetMode = "External"/>
	<Relationship Id="rId11" Type="http://schemas.openxmlformats.org/officeDocument/2006/relationships/hyperlink" Target="consultantplus://offline/ref=4B1B5FF9E386AB4CF7304D75E657C5E0F6678254E3C26DFA6A6A3D31C2A234E642096587D4FCCBD64507D260C5A34EE25CD0B9E33559094A724D0EN0O5J" TargetMode = "External"/>
	<Relationship Id="rId12" Type="http://schemas.openxmlformats.org/officeDocument/2006/relationships/hyperlink" Target="consultantplus://offline/ref=4B1B5FF9E386AB4CF7304D75E657C5E0F6678254E3C66AF06C6A3D31C2A234E642096587D4FCCBD64507D260C5A34EE25CD0B9E33559094A724D0EN0O5J" TargetMode = "External"/>
	<Relationship Id="rId13" Type="http://schemas.openxmlformats.org/officeDocument/2006/relationships/hyperlink" Target="consultantplus://offline/ref=4B1B5FF9E386AB4CF7304D75E657C5E0F6678254E2C565FF6D6A3D31C2A234E642096587D4FCCBD64507D260C5A34EE25CD0B9E33559094A724D0EN0O5J" TargetMode = "External"/>
	<Relationship Id="rId14" Type="http://schemas.openxmlformats.org/officeDocument/2006/relationships/hyperlink" Target="consultantplus://offline/ref=4B1B5FF9E386AB4CF7304D75E657C5E0F6678254E2C965F96E6A3D31C2A234E642096587D4FCCBD64507D260C5A34EE25CD0B9E33559094A724D0EN0O5J" TargetMode = "External"/>
	<Relationship Id="rId15" Type="http://schemas.openxmlformats.org/officeDocument/2006/relationships/hyperlink" Target="consultantplus://offline/ref=4B1B5FF9E386AB4CF7304D75E657C5E0F6678254EDC368FB6E6A3D31C2A234E642096587D4FCCBD64507D260C5A34EE25CD0B9E33559094A724D0EN0O5J" TargetMode = "External"/>
	<Relationship Id="rId16" Type="http://schemas.openxmlformats.org/officeDocument/2006/relationships/hyperlink" Target="consultantplus://offline/ref=4B1B5FF9E386AB4CF7304D75E657C5E0F6678254EDC56DFA6F6A3D31C2A234E642096587D4FCCBD64507D260C5A34EE25CD0B9E33559094A724D0EN0O5J" TargetMode = "External"/>
	<Relationship Id="rId17" Type="http://schemas.openxmlformats.org/officeDocument/2006/relationships/hyperlink" Target="consultantplus://offline/ref=4B1B5FF9E386AB4CF7304D75E657C5E0F6678254EDC96AFD6D6A3D31C2A234E642096587D4FCCBD64507D260C5A34EE25CD0B9E33559094A724D0EN0O5J" TargetMode = "External"/>
	<Relationship Id="rId18" Type="http://schemas.openxmlformats.org/officeDocument/2006/relationships/hyperlink" Target="consultantplus://offline/ref=4B1B5FF9E386AB4CF7304D75E657C5E0F6678254ECC06CFF6D6A3D31C2A234E642096587D4FCCBD64507D260C5A34EE25CD0B9E33559094A724D0EN0O5J" TargetMode = "External"/>
	<Relationship Id="rId19" Type="http://schemas.openxmlformats.org/officeDocument/2006/relationships/hyperlink" Target="consultantplus://offline/ref=4B1B5FF9E386AB4CF7305378F03B9FEDF66EDD59E5C967AF3335666C95AB3EB1174664C992F3D4D64019D065CCNFO4J" TargetMode = "External"/>
	<Relationship Id="rId20" Type="http://schemas.openxmlformats.org/officeDocument/2006/relationships/hyperlink" Target="consultantplus://offline/ref=4B1B5FF9E386AB4CF7304D75E657C5E0F6678254E3C664FF6B6A3D31C2A234E642096595D4A4C7D44719D260D0F51FA4N0OAJ" TargetMode = "External"/>
	<Relationship Id="rId21" Type="http://schemas.openxmlformats.org/officeDocument/2006/relationships/hyperlink" Target="consultantplus://offline/ref=4B1B5FF9E386AB4CF7304D75E657C5E0F6678254EDC76CFE6C6A3D31C2A234E642096587D4FCCBD64506D361C5A34EE25CD0B9E33559094A724D0EN0O5J" TargetMode = "External"/>
	<Relationship Id="rId22" Type="http://schemas.openxmlformats.org/officeDocument/2006/relationships/hyperlink" Target="consultantplus://offline/ref=4B1B5FF9E386AB4CF7304D75E657C5E0F6678254ECC06FF1696A3D31C2A234E642096587D4FCCBD64507D061C5A34EE25CD0B9E33559094A724D0EN0O5J" TargetMode = "External"/>
	<Relationship Id="rId23" Type="http://schemas.openxmlformats.org/officeDocument/2006/relationships/hyperlink" Target="consultantplus://offline/ref=4B1B5FF9E386AB4CF7304D75E657C5E0F6678254E3C66AF06C6A3D31C2A234E642096587D4FCCBD64507D263C5A34EE25CD0B9E33559094A724D0EN0O5J" TargetMode = "External"/>
	<Relationship Id="rId24" Type="http://schemas.openxmlformats.org/officeDocument/2006/relationships/hyperlink" Target="consultantplus://offline/ref=4B1B5FF9E386AB4CF7304D75E657C5E0F6678254EDC56DFA6F6A3D31C2A234E642096587D4FCCBD64507D263C5A34EE25CD0B9E33559094A724D0EN0O5J" TargetMode = "External"/>
	<Relationship Id="rId25" Type="http://schemas.openxmlformats.org/officeDocument/2006/relationships/hyperlink" Target="consultantplus://offline/ref=4B1B5FF9E386AB4CF7304D75E657C5E0F6678254E4C86AF06E6A3D31C2A234E642096595D4A4C7D44719D260D0F51FA4N0OAJ" TargetMode = "External"/>
	<Relationship Id="rId26" Type="http://schemas.openxmlformats.org/officeDocument/2006/relationships/hyperlink" Target="consultantplus://offline/ref=4B1B5FF9E386AB4CF7304D75E657C5E0F6678254E6C46CF9666A3D31C2A234E642096595D4A4C7D44719D260D0F51FA4N0OAJ" TargetMode = "External"/>
	<Relationship Id="rId27" Type="http://schemas.openxmlformats.org/officeDocument/2006/relationships/hyperlink" Target="consultantplus://offline/ref=4B1B5FF9E386AB4CF7304D75E657C5E0F6678254E6C26CF86B6A3D31C2A234E642096595D4A4C7D44719D260D0F51FA4N0OAJ" TargetMode = "External"/>
	<Relationship Id="rId28" Type="http://schemas.openxmlformats.org/officeDocument/2006/relationships/hyperlink" Target="consultantplus://offline/ref=4B1B5FF9E386AB4CF7304D75E657C5E0F6678254ECC06CFF6D6A3D31C2A234E642096587D4FCCBD64507D263C5A34EE25CD0B9E33559094A724D0EN0O5J" TargetMode = "External"/>
	<Relationship Id="rId29" Type="http://schemas.openxmlformats.org/officeDocument/2006/relationships/hyperlink" Target="consultantplus://offline/ref=4B1B5FF9E386AB4CF7304D75E657C5E0F6678254E3C66AF06C6A3D31C2A234E642096587D4FCCBD64507D26DC5A34EE25CD0B9E33559094A724D0EN0O5J" TargetMode = "External"/>
	<Relationship Id="rId30" Type="http://schemas.openxmlformats.org/officeDocument/2006/relationships/hyperlink" Target="consultantplus://offline/ref=4B1B5FF9E386AB4CF7304D75E657C5E0F6678254E3C66AF06C6A3D31C2A234E642096587D4FCCBD64507D262C5A34EE25CD0B9E33559094A724D0EN0O5J" TargetMode = "External"/>
	<Relationship Id="rId31" Type="http://schemas.openxmlformats.org/officeDocument/2006/relationships/hyperlink" Target="consultantplus://offline/ref=4B1B5FF9E386AB4CF7304D75E657C5E0F6678254E2C565FF6D6A3D31C2A234E642096587D4FCCBD64507D262C5A34EE25CD0B9E33559094A724D0EN0O5J" TargetMode = "External"/>
	<Relationship Id="rId32" Type="http://schemas.openxmlformats.org/officeDocument/2006/relationships/hyperlink" Target="consultantplus://offline/ref=4B1B5FF9E386AB4CF7304D75E657C5E0F6678254E2C965F96E6A3D31C2A234E642096587D4FCCBD64507D263C5A34EE25CD0B9E33559094A724D0EN0O5J" TargetMode = "External"/>
	<Relationship Id="rId33" Type="http://schemas.openxmlformats.org/officeDocument/2006/relationships/hyperlink" Target="consultantplus://offline/ref=4B1B5FF9E386AB4CF7304D75E657C5E0F6678254EDC368FB6E6A3D31C2A234E642096587D4FCCBD64507D263C5A34EE25CD0B9E33559094A724D0EN0O5J" TargetMode = "External"/>
	<Relationship Id="rId34" Type="http://schemas.openxmlformats.org/officeDocument/2006/relationships/hyperlink" Target="consultantplus://offline/ref=4B1B5FF9E386AB4CF7304D75E657C5E0F6678254EDC56DFA6F6A3D31C2A234E642096587D4FCCBD64507D26DC5A34EE25CD0B9E33559094A724D0EN0O5J" TargetMode = "External"/>
	<Relationship Id="rId35" Type="http://schemas.openxmlformats.org/officeDocument/2006/relationships/hyperlink" Target="consultantplus://offline/ref=4B1B5FF9E386AB4CF7304D75E657C5E0F6678254EDC96AFD6D6A3D31C2A234E642096587D4FCCBD64507D263C5A34EE25CD0B9E33559094A724D0EN0O5J" TargetMode = "External"/>
	<Relationship Id="rId36" Type="http://schemas.openxmlformats.org/officeDocument/2006/relationships/hyperlink" Target="consultantplus://offline/ref=4B1B5FF9E386AB4CF7304D75E657C5E0F6678254ECC06CFF6D6A3D31C2A234E642096587D4FCCBD64507D26DC5A34EE25CD0B9E33559094A724D0EN0O5J" TargetMode = "External"/>
	<Relationship Id="rId37" Type="http://schemas.openxmlformats.org/officeDocument/2006/relationships/hyperlink" Target="consultantplus://offline/ref=4B1B5FF9E386AB4CF7304D75E657C5E0F6678254EDC56DFA6F6A3D31C2A234E642096587D4FCCBD64507D26CC5A34EE25CD0B9E33559094A724D0EN0O5J" TargetMode = "External"/>
	<Relationship Id="rId38" Type="http://schemas.openxmlformats.org/officeDocument/2006/relationships/hyperlink" Target="consultantplus://offline/ref=4B1B5FF9E386AB4CF7304D75E657C5E0F6678254ECC06CFF6D6A3D31C2A234E642096587D4FCCBD64507D26CC5A34EE25CD0B9E33559094A724D0EN0O5J" TargetMode = "External"/>
	<Relationship Id="rId39" Type="http://schemas.openxmlformats.org/officeDocument/2006/relationships/hyperlink" Target="consultantplus://offline/ref=4B1B5FF9E386AB4CF7304D75E657C5E0F6678254ECC06CFF6D6A3D31C2A234E642096587D4FCCBD64507D364C5A34EE25CD0B9E33559094A724D0EN0O5J" TargetMode = "External"/>
	<Relationship Id="rId40" Type="http://schemas.openxmlformats.org/officeDocument/2006/relationships/hyperlink" Target="consultantplus://offline/ref=4B1B5FF9E386AB4CF7304D75E657C5E0F6678254EDC368FB6E6A3D31C2A234E642096587D4FCCBD64507D262C5A34EE25CD0B9E33559094A724D0EN0O5J" TargetMode = "External"/>
	<Relationship Id="rId41" Type="http://schemas.openxmlformats.org/officeDocument/2006/relationships/hyperlink" Target="consultantplus://offline/ref=4B1B5FF9E386AB4CF7304D75E657C5E0F6678254ECC06CFF6D6A3D31C2A234E642096587D4FCCBD64507D366C5A34EE25CD0B9E33559094A724D0EN0O5J" TargetMode = "External"/>
	<Relationship Id="rId42" Type="http://schemas.openxmlformats.org/officeDocument/2006/relationships/hyperlink" Target="consultantplus://offline/ref=4B1B5FF9E386AB4CF7304D75E657C5E0F6678254EDC46DF9676A3D31C2A234E642096587D4FCCBD64507D367C5A34EE25CD0B9E33559094A724D0EN0O5J" TargetMode = "External"/>
	<Relationship Id="rId43" Type="http://schemas.openxmlformats.org/officeDocument/2006/relationships/hyperlink" Target="consultantplus://offline/ref=4B1B5FF9E386AB4CF7305378F03B9FEDF668DA58ECC767AF3335666C95AB3EB1174664C992F3D4D64019D065CCNFO4J" TargetMode = "External"/>
	<Relationship Id="rId44" Type="http://schemas.openxmlformats.org/officeDocument/2006/relationships/hyperlink" Target="consultantplus://offline/ref=4B1B5FF9E386AB4CF7304D75E657C5E0F6678254E7C76AFE676A3D31C2A234E642096595D4A4C7D44719D260D0F51FA4N0OAJ" TargetMode = "External"/>
	<Relationship Id="rId45" Type="http://schemas.openxmlformats.org/officeDocument/2006/relationships/hyperlink" Target="consultantplus://offline/ref=4B1B5FF9E386AB4CF7304D75E657C5E0F6678254E2C565FF6D6A3D31C2A234E642096587D4FCCBD64507D062C5A34EE25CD0B9E33559094A724D0EN0O5J" TargetMode = "External"/>
	<Relationship Id="rId46" Type="http://schemas.openxmlformats.org/officeDocument/2006/relationships/hyperlink" Target="consultantplus://offline/ref=4B1B5FF9E386AB4CF7304D75E657C5E0F6678254E2C565FF6D6A3D31C2A234E642096587D4FCCBD64507D06DC5A34EE25CD0B9E33559094A724D0EN0O5J" TargetMode = "External"/>
	<Relationship Id="rId47" Type="http://schemas.openxmlformats.org/officeDocument/2006/relationships/hyperlink" Target="consultantplus://offline/ref=4B1B5FF9E386AB4CF7304D75E657C5E0F6678254E2C565FF6D6A3D31C2A234E642096587D4FCCBD64507D165C5A34EE25CD0B9E33559094A724D0EN0O5J" TargetMode = "External"/>
	<Relationship Id="rId48" Type="http://schemas.openxmlformats.org/officeDocument/2006/relationships/hyperlink" Target="consultantplus://offline/ref=4B1B5FF9E386AB4CF7304D75E657C5E0F6678254E2C565FF6D6A3D31C2A234E642096587D4FCCBD64507D164C5A34EE25CD0B9E33559094A724D0EN0O5J" TargetMode = "External"/>
	<Relationship Id="rId49" Type="http://schemas.openxmlformats.org/officeDocument/2006/relationships/hyperlink" Target="consultantplus://offline/ref=4B1B5FF9E386AB4CF7304D75E657C5E0F6678254E2C565FF6D6A3D31C2A234E642096587D4FCCBD64507D167C5A34EE25CD0B9E33559094A724D0EN0O5J" TargetMode = "External"/>
	<Relationship Id="rId50" Type="http://schemas.openxmlformats.org/officeDocument/2006/relationships/hyperlink" Target="consultantplus://offline/ref=4B1B5FF9E386AB4CF7304D75E657C5E0F6678254E2C565FF6D6A3D31C2A234E642096587D4FCCBD64507D166C5A34EE25CD0B9E33559094A724D0EN0O5J" TargetMode = "External"/>
	<Relationship Id="rId51" Type="http://schemas.openxmlformats.org/officeDocument/2006/relationships/hyperlink" Target="consultantplus://offline/ref=4B1B5FF9E386AB4CF7304D75E657C5E0F6678254ECC16FF96A6A3D31C2A234E642096595D4A4C7D44719D260D0F51FA4N0OAJ" TargetMode = "External"/>
	<Relationship Id="rId52" Type="http://schemas.openxmlformats.org/officeDocument/2006/relationships/hyperlink" Target="consultantplus://offline/ref=4B1B5FF9E386AB4CF7304D75E657C5E0F6678254E2C565FF6D6A3D31C2A234E642096587D4FCCBD64507D160C5A34EE25CD0B9E33559094A724D0EN0O5J" TargetMode = "External"/>
	<Relationship Id="rId53" Type="http://schemas.openxmlformats.org/officeDocument/2006/relationships/hyperlink" Target="consultantplus://offline/ref=4B1B5FF9E386AB4CF7304D75E657C5E0F6678254E2C565FF6D6A3D31C2A234E642096587D4FCCBD64507D163C5A34EE25CD0B9E33559094A724D0EN0O5J" TargetMode = "External"/>
	<Relationship Id="rId54" Type="http://schemas.openxmlformats.org/officeDocument/2006/relationships/hyperlink" Target="consultantplus://offline/ref=4B1B5FF9E386AB4CF7304D75E657C5E0F6678254E2C565FF6D6A3D31C2A234E642096587D4FCCBD64507D16DC5A34EE25CD0B9E33559094A724D0EN0O5J" TargetMode = "External"/>
	<Relationship Id="rId55" Type="http://schemas.openxmlformats.org/officeDocument/2006/relationships/hyperlink" Target="consultantplus://offline/ref=4B1B5FF9E386AB4CF7305378F03B9FEDF66FDC5FE7C967AF3335666C95AB3EB1174664C992F3D4D64019D065CCNFO4J" TargetMode = "External"/>
	<Relationship Id="rId56" Type="http://schemas.openxmlformats.org/officeDocument/2006/relationships/hyperlink" Target="consultantplus://offline/ref=4B1B5FF9E386AB4CF7305378F03B9FEDF66FDC5FE7C967AF3335666C95AB3EB105463CC590F1C9D1470C86348AA212A40BC3BBE4355B0C56N7O3J" TargetMode = "External"/>
	<Relationship Id="rId57" Type="http://schemas.openxmlformats.org/officeDocument/2006/relationships/hyperlink" Target="consultantplus://offline/ref=4B1B5FF9E386AB4CF7304D75E657C5E0F6678254E2C565FF6D6A3D31C2A234E642096587D4FCCBD64507D16CC5A34EE25CD0B9E33559094A724D0EN0O5J" TargetMode = "External"/>
	<Relationship Id="rId58" Type="http://schemas.openxmlformats.org/officeDocument/2006/relationships/hyperlink" Target="consultantplus://offline/ref=4B1B5FF9E386AB4CF7304D75E657C5E0F6678254E2C565FF6D6A3D31C2A234E642096587D4FCCBD64507D664C5A34EE25CD0B9E33559094A724D0EN0O5J" TargetMode = "External"/>
	<Relationship Id="rId59" Type="http://schemas.openxmlformats.org/officeDocument/2006/relationships/hyperlink" Target="consultantplus://offline/ref=4B1B5FF9E386AB4CF7304D75E657C5E0F6678254E2C565FF6D6A3D31C2A234E642096587D4FCCBD64507D667C5A34EE25CD0B9E33559094A724D0EN0O5J" TargetMode = "External"/>
	<Relationship Id="rId60" Type="http://schemas.openxmlformats.org/officeDocument/2006/relationships/hyperlink" Target="consultantplus://offline/ref=4B1B5FF9E386AB4CF7304D75E657C5E0F6678254EDC368FB6E6A3D31C2A234E642096587D4FCCBD64507D06CC5A34EE25CD0B9E33559094A724D0EN0O5J" TargetMode = "External"/>
	<Relationship Id="rId61" Type="http://schemas.openxmlformats.org/officeDocument/2006/relationships/hyperlink" Target="consultantplus://offline/ref=4B1B5FF9E386AB4CF7304D75E657C5E0F6678254ECC16FF96A6A3D31C2A234E642096595D4A4C7D44719D260D0F51FA4N0OAJ" TargetMode = "External"/>
	<Relationship Id="rId62" Type="http://schemas.openxmlformats.org/officeDocument/2006/relationships/hyperlink" Target="consultantplus://offline/ref=4B1B5FF9E386AB4CF7304D75E657C5E0F6678254E2C965F96E6A3D31C2A234E642096587D4FCCBD64507D060C5A34EE25CD0B9E33559094A724D0EN0O5J" TargetMode = "External"/>
	<Relationship Id="rId63" Type="http://schemas.openxmlformats.org/officeDocument/2006/relationships/hyperlink" Target="consultantplus://offline/ref=4B1B5FF9E386AB4CF7304D75E657C5E0F6678254EDC56DFA6F6A3D31C2A234E642096587D4FCCBD64507D165C5A34EE25CD0B9E33559094A724D0EN0O5J" TargetMode = "External"/>
	<Relationship Id="rId64" Type="http://schemas.openxmlformats.org/officeDocument/2006/relationships/hyperlink" Target="consultantplus://offline/ref=4B1B5FF9E386AB4CF7304D75E657C5E0F6678254EDC56DFA6F6A3D31C2A234E642096587D4FCCBD64507D166C5A34EE25CD0B9E33559094A724D0EN0O5J" TargetMode = "External"/>
	<Relationship Id="rId65" Type="http://schemas.openxmlformats.org/officeDocument/2006/relationships/hyperlink" Target="consultantplus://offline/ref=4B1B5FF9E386AB4CF7304D75E657C5E0F6678254E2C565FF6D6A3D31C2A234E642096587D4FCCBD64507D661C5A34EE25CD0B9E33559094A724D0EN0O5J" TargetMode = "External"/>
	<Relationship Id="rId66" Type="http://schemas.openxmlformats.org/officeDocument/2006/relationships/hyperlink" Target="consultantplus://offline/ref=4B1B5FF9E386AB4CF7304D75E657C5E0F6678254E2C965F96E6A3D31C2A234E642096587D4FCCBD64507D06DC5A34EE25CD0B9E33559094A724D0EN0O5J" TargetMode = "External"/>
	<Relationship Id="rId67" Type="http://schemas.openxmlformats.org/officeDocument/2006/relationships/hyperlink" Target="consultantplus://offline/ref=4B1B5FF9E386AB4CF7304D75E657C5E0F6678254EDC56DFA6F6A3D31C2A234E642096587D4FCCBD64507D163C5A34EE25CD0B9E33559094A724D0EN0O5J" TargetMode = "External"/>
	<Relationship Id="rId68" Type="http://schemas.openxmlformats.org/officeDocument/2006/relationships/hyperlink" Target="consultantplus://offline/ref=4B1B5FF9E386AB4CF7304D75E657C5E0F6678254E2C565FF6D6A3D31C2A234E642096587D4FCCBD64507D660C5A34EE25CD0B9E33559094A724D0EN0O5J" TargetMode = "External"/>
	<Relationship Id="rId69" Type="http://schemas.openxmlformats.org/officeDocument/2006/relationships/hyperlink" Target="consultantplus://offline/ref=4B1B5FF9E386AB4CF7304D75E657C5E0F6678254E2C565FF6D6A3D31C2A234E642096587D4FCCBD64507D663C5A34EE25CD0B9E33559094A724D0EN0O5J" TargetMode = "External"/>
	<Relationship Id="rId70" Type="http://schemas.openxmlformats.org/officeDocument/2006/relationships/hyperlink" Target="consultantplus://offline/ref=4B1B5FF9E386AB4CF7304D75E657C5E0F6678254EDC368FB6E6A3D31C2A234E642096587D4FCCBD64507D164C5A34EE25CD0B9E33559094A724D0EN0O5J" TargetMode = "External"/>
	<Relationship Id="rId71" Type="http://schemas.openxmlformats.org/officeDocument/2006/relationships/hyperlink" Target="consultantplus://offline/ref=4B1B5FF9E386AB4CF7304D75E657C5E0F6678254EDC368FB6E6A3D31C2A234E642096587D4FCCBD64507D163C5A34EE25CD0B9E33559094A724D0EN0O5J" TargetMode = "External"/>
	<Relationship Id="rId72" Type="http://schemas.openxmlformats.org/officeDocument/2006/relationships/hyperlink" Target="consultantplus://offline/ref=4B1B5FF9E386AB4CF7304D75E657C5E0F6678254EDC368FB6E6A3D31C2A234E642096587D4FCCBD64507D16DC5A34EE25CD0B9E33559094A724D0EN0O5J" TargetMode = "External"/>
	<Relationship Id="rId73" Type="http://schemas.openxmlformats.org/officeDocument/2006/relationships/hyperlink" Target="consultantplus://offline/ref=4B1B5FF9E386AB4CF7304D75E657C5E0F6678254ECC06CFF6D6A3D31C2A234E642096587D4FCCBD64507D164C5A34EE25CD0B9E33559094A724D0EN0O5J" TargetMode = "External"/>
	<Relationship Id="rId74" Type="http://schemas.openxmlformats.org/officeDocument/2006/relationships/hyperlink" Target="consultantplus://offline/ref=4716D83BA82A8ABB89C12C91EAB53F91CEEB14C05735EA744CE716626CCD4B940CEE6FC543332E9B438E8D6A047DA0978925E373665B2A2F0D8DA0O3O9J" TargetMode = "External"/>
	<Relationship Id="rId75" Type="http://schemas.openxmlformats.org/officeDocument/2006/relationships/hyperlink" Target="consultantplus://offline/ref=4716D83BA82A8ABB89C12C91EAB53F91CEEB14C05835E2714EE716626CCD4B940CEE6FC543332E9B438E8A64047DA0978925E373665B2A2F0D8DA0O3O9J" TargetMode = "External"/>
	<Relationship Id="rId76" Type="http://schemas.openxmlformats.org/officeDocument/2006/relationships/hyperlink" Target="consultantplus://offline/ref=4716D83BA82A8ABB89C12C91EAB53F91CEEB14C05735EA744CE716626CCD4B940CEE6FC543332E9B438E8D6A047DA0978925E373665B2A2F0D8DA0O3O9J" TargetMode = "External"/>
	<Relationship Id="rId77" Type="http://schemas.openxmlformats.org/officeDocument/2006/relationships/hyperlink" Target="consultantplus://offline/ref=4716D83BA82A8ABB89C12C91EAB53F91CEEB14C05835E2714EE716626CCD4B940CEE6FC543332E9B438E8A64047DA0978925E373665B2A2F0D8DA0O3O9J" TargetMode = "External"/>
	<Relationship Id="rId78" Type="http://schemas.openxmlformats.org/officeDocument/2006/relationships/hyperlink" Target="consultantplus://offline/ref=4716D83BA82A8ABB89C12C91EAB53F91CEEB14C05930E3744CE716626CCD4B940CEE6FC543332E9B438E8A6E047DA0978925E373665B2A2F0D8DA0O3O9J" TargetMode = "External"/>
	<Relationship Id="rId79" Type="http://schemas.openxmlformats.org/officeDocument/2006/relationships/hyperlink" Target="consultantplus://offline/ref=4716D83BA82A8ABB89C1329CFCD9659CCEE44CCC5937E82412B84D3F3BC441C359A16E8B053C319B46918B6C0DO2OAJ" TargetMode = "External"/>
	<Relationship Id="rId80" Type="http://schemas.openxmlformats.org/officeDocument/2006/relationships/hyperlink" Target="consultantplus://offline/ref=4716D83BA82A8ABB89C1329CFCD9659CC9E042CD5638E82412B84D3F3BC441C34BA13687073E2F9B4B84DD3D4B7CFCD1DE36E17466592F33O0OCJ" TargetMode = "External"/>
	<Relationship Id="rId81" Type="http://schemas.openxmlformats.org/officeDocument/2006/relationships/hyperlink" Target="consultantplus://offline/ref=4716D83BA82A8ABB89C1329CFCD9659CC9E542CD5237E82412B84D3F3BC441C359A16E8B053C319B46918B6C0DO2OAJ" TargetMode = "External"/>
	<Relationship Id="rId82" Type="http://schemas.openxmlformats.org/officeDocument/2006/relationships/hyperlink" Target="consultantplus://offline/ref=4716D83BA82A8ABB89C12C91EAB53F91CEEB14C05735EA744CE716626CCD4B940CEE6FC543332E9B438E8F68047DA0978925E373665B2A2F0D8DA0O3O9J" TargetMode = "External"/>
	<Relationship Id="rId83" Type="http://schemas.openxmlformats.org/officeDocument/2006/relationships/hyperlink" Target="consultantplus://offline/ref=4716D83BA82A8ABB89C12C91EAB53F91CEEB14C05930E3744CE716626CCD4B940CEE6FC543332E9B438E8D64047DA0978925E373665B2A2F0D8DA0O3O9J" TargetMode = "External"/>
	<Relationship Id="rId84" Type="http://schemas.openxmlformats.org/officeDocument/2006/relationships/hyperlink" Target="consultantplus://offline/ref=4716D83BA82A8ABB89C12C91EAB53F91CEEB14C05835E2714EE716626CCD4B940CEE6FC543332E9B438D8A6E047DA0978925E373665B2A2F0D8DA0O3O9J" TargetMode = "External"/>
	<Relationship Id="rId85" Type="http://schemas.openxmlformats.org/officeDocument/2006/relationships/hyperlink" Target="consultantplus://offline/ref=4716D83BA82A8ABB89C12C91EAB53F91CEEB14C05835E2714EE716626CCD4B940CEE6FC543332E9B438D8A6E047DA0978925E373665B2A2F0D8DA0O3O9J" TargetMode = "External"/>
	<Relationship Id="rId86" Type="http://schemas.openxmlformats.org/officeDocument/2006/relationships/hyperlink" Target="consultantplus://offline/ref=4716D83BA82A8ABB89C12C91EAB53F91CEEB14C05739EA724FE716626CCD4B940CEE6FC543332E9B438D8B6D047DA0978925E373665B2A2F0D8DA0O3O9J" TargetMode = "External"/>
	<Relationship Id="rId87" Type="http://schemas.openxmlformats.org/officeDocument/2006/relationships/hyperlink" Target="consultantplus://offline/ref=4716D83BA82A8ABB89C12C91EAB53F91CEEB14C05835E2714EE716626CCD4B940CEE6FC543332E9B438D8A6F047DA0978925E373665B2A2F0D8DA0O3O9J" TargetMode = "External"/>
	<Relationship Id="rId88" Type="http://schemas.openxmlformats.org/officeDocument/2006/relationships/hyperlink" Target="consultantplus://offline/ref=4716D83BA82A8ABB89C12C91EAB53F91CEEB14C05930E3744CE716626CCD4B940CEE6FC543332E9B438D8B6A047DA0978925E373665B2A2F0D8DA0O3O9J" TargetMode = "External"/>
	<Relationship Id="rId89" Type="http://schemas.openxmlformats.org/officeDocument/2006/relationships/hyperlink" Target="consultantplus://offline/ref=4716D83BA82A8ABB89C12C91EAB53F91CEEB14C05739EA724FE716626CCD4B940CEE6FC543332E9B438D8A64047DA0978925E373665B2A2F0D8DA0O3O9J" TargetMode = "External"/>
	<Relationship Id="rId90" Type="http://schemas.openxmlformats.org/officeDocument/2006/relationships/hyperlink" Target="consultantplus://offline/ref=4716D83BA82A8ABB89C12C91EAB53F91CEEB14C05835E2714EE716626CCD4B940CEE6FC543332E9B438D8C6C047DA0978925E373665B2A2F0D8DA0O3O9J" TargetMode = "External"/>
	<Relationship Id="rId91" Type="http://schemas.openxmlformats.org/officeDocument/2006/relationships/hyperlink" Target="consultantplus://offline/ref=4716D83BA82A8ABB89C12C91EAB53F91CEEB14C05739EA724FE716626CCD4B940CEE6FC543332E9B438D8D6C047DA0978925E373665B2A2F0D8DA0O3O9J" TargetMode = "External"/>
	<Relationship Id="rId92" Type="http://schemas.openxmlformats.org/officeDocument/2006/relationships/hyperlink" Target="consultantplus://offline/ref=4716D83BA82A8ABB89C12C91EAB53F91CEEB14C05739EA724FE716626CCD4B940CEE6FC543332E9B438D8D6E047DA0978925E373665B2A2F0D8DA0O3O9J" TargetMode = "External"/>
	<Relationship Id="rId93" Type="http://schemas.openxmlformats.org/officeDocument/2006/relationships/hyperlink" Target="consultantplus://offline/ref=4716D83BA82A8ABB89C12C91EAB53F91CEEB14C05835E2714EE716626CCD4B940CEE6FC543332E9B438D8C6F047DA0978925E373665B2A2F0D8DA0O3O9J" TargetMode = "External"/>
	<Relationship Id="rId94" Type="http://schemas.openxmlformats.org/officeDocument/2006/relationships/hyperlink" Target="consultantplus://offline/ref=4716D83BA82A8ABB89C12C91EAB53F91CEEB14C05739EA724FE716626CCD4B940CEE6FC543332E9B438D8D69047DA0978925E373665B2A2F0D8DA0O3O9J" TargetMode = "External"/>
	<Relationship Id="rId95" Type="http://schemas.openxmlformats.org/officeDocument/2006/relationships/hyperlink" Target="consultantplus://offline/ref=4716D83BA82A8ABB89C12C91EAB53F91CEEB14C05930E3744CE716626CCD4B940CEE6FC543332E9B438D8D6D047DA0978925E373665B2A2F0D8DA0O3O9J" TargetMode = "External"/>
	<Relationship Id="rId96" Type="http://schemas.openxmlformats.org/officeDocument/2006/relationships/hyperlink" Target="consultantplus://offline/ref=4716D83BA82A8ABB89C12C91EAB53F91CEEB14C05835E2714EE716626CCD4B940CEE6FC543332E9B438C8D64047DA0978925E373665B2A2F0D8DA0O3O9J" TargetMode = "External"/>
	<Relationship Id="rId97" Type="http://schemas.openxmlformats.org/officeDocument/2006/relationships/hyperlink" Target="consultantplus://offline/ref=4716D83BA82A8ABB89C12C91EAB53F91CEEB14C05835E2714EE716626CCD4B940CEE6FC543332E9B438C8D64047DA0978925E373665B2A2F0D8DA0O3O9J" TargetMode = "External"/>
	<Relationship Id="rId98" Type="http://schemas.openxmlformats.org/officeDocument/2006/relationships/hyperlink" Target="consultantplus://offline/ref=4716D83BA82A8ABB89C12C91EAB53F91CEEB14C05835E2714EE716626CCD4B940CEE6FC543332E9B438C8C6D047DA0978925E373665B2A2F0D8DA0O3O9J" TargetMode = "External"/>
	<Relationship Id="rId99" Type="http://schemas.openxmlformats.org/officeDocument/2006/relationships/hyperlink" Target="consultantplus://offline/ref=4716D83BA82A8ABB89C12C91EAB53F91CEEB14C05930E3744CE716626CCD4B940CEE6FC543332E9B438C8A68047DA0978925E373665B2A2F0D8DA0O3O9J" TargetMode = "External"/>
	<Relationship Id="rId100" Type="http://schemas.openxmlformats.org/officeDocument/2006/relationships/hyperlink" Target="consultantplus://offline/ref=4716D83BA82A8ABB89C12C91EAB53F91CEEB14C05735EA744CE716626CCD4B940CEE6FC543332E9B438C8E6F047DA0978925E373665B2A2F0D8DA0O3O9J" TargetMode = "External"/>
	<Relationship Id="rId101" Type="http://schemas.openxmlformats.org/officeDocument/2006/relationships/hyperlink" Target="consultantplus://offline/ref=4716D83BA82A8ABB89C12C91EAB53F91CEEB14C05739EA724FE716626CCD4B940CEE6FC543332E9B438C8E6C047DA0978925E373665B2A2F0D8DA0O3O9J" TargetMode = "External"/>
	<Relationship Id="rId102" Type="http://schemas.openxmlformats.org/officeDocument/2006/relationships/hyperlink" Target="consultantplus://offline/ref=4716D83BA82A8ABB89C12C91EAB53F91CEEB14C05835E2714EE716626CCD4B940CEE6FC543332E9B438C8F6B047DA0978925E373665B2A2F0D8DA0O3O9J" TargetMode = "External"/>
	<Relationship Id="rId103" Type="http://schemas.openxmlformats.org/officeDocument/2006/relationships/hyperlink" Target="consultantplus://offline/ref=4716D83BA82A8ABB89C12C91EAB53F91CEEB14C05237E57546E716626CCD4B940CEE6FD7436B229941918969112BF1D1ODOFJ" TargetMode = "External"/>
	<Relationship Id="rId104" Type="http://schemas.openxmlformats.org/officeDocument/2006/relationships/hyperlink" Target="consultantplus://offline/ref=4716D83BA82A8ABB89C12C91EAB53F91CEEB14C05334E37247E716626CCD4B940CEE6FD7436B229941918969112BF1D1ODOFJ" TargetMode = "External"/>
	<Relationship Id="rId105" Type="http://schemas.openxmlformats.org/officeDocument/2006/relationships/hyperlink" Target="consultantplus://offline/ref=4716D83BA82A8ABB89C12C91EAB53F91CEEB14C05237E57546E716626CCD4B940CEE6FD7436B229941918969112BF1D1ODOFJ" TargetMode = "External"/>
	<Relationship Id="rId106" Type="http://schemas.openxmlformats.org/officeDocument/2006/relationships/hyperlink" Target="consultantplus://offline/ref=4716D83BA82A8ABB89C12C91EAB53F91CEEB14C05835E2714EE716626CCD4B940CEE6FC543332E9B438C8F64047DA0978925E373665B2A2F0D8DA0O3O9J" TargetMode = "External"/>
	<Relationship Id="rId107" Type="http://schemas.openxmlformats.org/officeDocument/2006/relationships/hyperlink" Target="consultantplus://offline/ref=4716D83BA82A8ABB89C12C91EAB53F91CEEB14C05930E3744CE716626CCD4B940CEE6FC543332E9B438C8D64047DA0978925E373665B2A2F0D8DA0O3O9J" TargetMode = "External"/>
	<Relationship Id="rId108" Type="http://schemas.openxmlformats.org/officeDocument/2006/relationships/hyperlink" Target="consultantplus://offline/ref=4716D83BA82A8ABB89C12C91EAB53F91CEEB14C05930E3744CE716626CCD4B940CEE6FC543332E9B438C8C6D047DA0978925E373665B2A2F0D8DA0O3O9J" TargetMode = "External"/>
	<Relationship Id="rId109" Type="http://schemas.openxmlformats.org/officeDocument/2006/relationships/hyperlink" Target="consultantplus://offline/ref=4716D83BA82A8ABB89C12C91EAB53F91CEEB14C05835E2714EE716626CCD4B940CEE6FC543332E9B438C8E6F047DA0978925E373665B2A2F0D8DA0O3O9J" TargetMode = "External"/>
	<Relationship Id="rId110" Type="http://schemas.openxmlformats.org/officeDocument/2006/relationships/hyperlink" Target="consultantplus://offline/ref=4716D83BA82A8ABB89C12C91EAB53F91CEEB14C05835E2714EE716626CCD4B940CEE6FC543332E9B438C8E68047DA0978925E373665B2A2F0D8DA0O3O9J" TargetMode = "External"/>
	<Relationship Id="rId111" Type="http://schemas.openxmlformats.org/officeDocument/2006/relationships/hyperlink" Target="consultantplus://offline/ref=4716D83BA82A8ABB89C12C91EAB53F91CEEB14C05835E2714EE716626CCD4B940CEE6FC543332E9B438C8E69047DA0978925E373665B2A2F0D8DA0O3O9J" TargetMode = "External"/>
	<Relationship Id="rId112" Type="http://schemas.openxmlformats.org/officeDocument/2006/relationships/hyperlink" Target="consultantplus://offline/ref=4716D83BA82A8ABB89C12C91EAB53F91CEEB14C05735EA744CE716626CCD4B940CEE6FC543332E9B438C8E68047DA0978925E373665B2A2F0D8DA0O3O9J" TargetMode = "External"/>
	<Relationship Id="rId113" Type="http://schemas.openxmlformats.org/officeDocument/2006/relationships/hyperlink" Target="consultantplus://offline/ref=4716D83BA82A8ABB89C12C91EAB53F91CEEB14C05735EA744CE716626CCD4B940CEE6FC543332E9B438C8E6A047DA0978925E373665B2A2F0D8DA0O3O9J" TargetMode = "External"/>
	<Relationship Id="rId114" Type="http://schemas.openxmlformats.org/officeDocument/2006/relationships/hyperlink" Target="consultantplus://offline/ref=4716D83BA82A8ABB89C12C91EAB53F91CEEB14C05739EA724FE716626CCD4B940CEE6FC543332E9B438C8E6D047DA0978925E373665B2A2F0D8DA0O3O9J" TargetMode = "External"/>
	<Relationship Id="rId115" Type="http://schemas.openxmlformats.org/officeDocument/2006/relationships/hyperlink" Target="consultantplus://offline/ref=4716D83BA82A8ABB89C12C91EAB53F91CEEB14C05835E2714EE716626CCD4B940CEE6FC543332E9B438C8E6B047DA0978925E373665B2A2F0D8DA0O3O9J" TargetMode = "External"/>
	<Relationship Id="rId116" Type="http://schemas.openxmlformats.org/officeDocument/2006/relationships/hyperlink" Target="consultantplus://offline/ref=4716D83BA82A8ABB89C12C91EAB53F91CEEB14C05930E3744CE716626CCD4B940CEE6FC543332E9B438C8C6E047DA0978925E373665B2A2F0D8DA0O3O9J" TargetMode = "External"/>
	<Relationship Id="rId117" Type="http://schemas.openxmlformats.org/officeDocument/2006/relationships/hyperlink" Target="consultantplus://offline/ref=4716D83BA82A8ABB89C12C91EAB53F91CEEB14C05735EA744CE716626CCD4B940CEE6FC543332E9B438B8C6A047DA0978925E373665B2A2F0D8DA0O3O9J" TargetMode = "External"/>
	<Relationship Id="rId118" Type="http://schemas.openxmlformats.org/officeDocument/2006/relationships/hyperlink" Target="consultantplus://offline/ref=4716D83BA82A8ABB89C12C91EAB53F91CEEB14C05735EA744CE716626CCD4B940CEE6FC543332E9B438B8C6A047DA0978925E373665B2A2F0D8DA0O3O9J" TargetMode = "External"/>
	<Relationship Id="rId119" Type="http://schemas.openxmlformats.org/officeDocument/2006/relationships/hyperlink" Target="consultantplus://offline/ref=4716D83BA82A8ABB89C12C91EAB53F91CEEB14C05930E3744CE716626CCD4B940CEE6FC543332E9B438B8C6C047DA0978925E373665B2A2F0D8DA0O3O9J" TargetMode = "External"/>
	<Relationship Id="rId120" Type="http://schemas.openxmlformats.org/officeDocument/2006/relationships/hyperlink" Target="consultantplus://offline/ref=4716D83BA82A8ABB89C12C91EAB53F91CEEB14C05735EA744CE716626CCD4B940CEE6FC543332E9B438B8E6F047DA0978925E373665B2A2F0D8DA0O3O9J" TargetMode = "External"/>
	<Relationship Id="rId121" Type="http://schemas.openxmlformats.org/officeDocument/2006/relationships/hyperlink" Target="consultantplus://offline/ref=4716D83BA82A8ABB89C12C91EAB53F91CEEB14C05735EA744CE716626CCD4B940CEE6FC543332E9B438B8E68047DA0978925E373665B2A2F0D8DA0O3O9J" TargetMode = "External"/>
	<Relationship Id="rId122" Type="http://schemas.openxmlformats.org/officeDocument/2006/relationships/hyperlink" Target="consultantplus://offline/ref=4716D83BA82A8ABB89C12C91EAB53F91CEEB14C05735EA744CE716626CCD4B940CEE6FC543332E9B438B8E69047DA0978925E373665B2A2F0D8DA0O3O9J" TargetMode = "External"/>
	<Relationship Id="rId123" Type="http://schemas.openxmlformats.org/officeDocument/2006/relationships/hyperlink" Target="consultantplus://offline/ref=4716D83BA82A8ABB89C12C91EAB53F91CEEB14C05735EA744CE716626CCD4B940CEE6FC543332E9B438B8E6B047DA0978925E373665B2A2F0D8DA0O3O9J" TargetMode = "External"/>
	<Relationship Id="rId124" Type="http://schemas.openxmlformats.org/officeDocument/2006/relationships/hyperlink" Target="consultantplus://offline/ref=4716D83BA82A8ABB89C12C91EAB53F91CEEB14C05735EA744CE716626CCD4B940CEE6FC543332E9B438B8E64047DA0978925E373665B2A2F0D8DA0O3O9J" TargetMode = "External"/>
	<Relationship Id="rId125" Type="http://schemas.openxmlformats.org/officeDocument/2006/relationships/hyperlink" Target="consultantplus://offline/ref=4716D83BA82A8ABB89C12C91EAB53F91CEEB14C05735EA744CE716626CCD4B940CEE6FC543332E9B438B8E65047DA0978925E373665B2A2F0D8DA0O3O9J" TargetMode = "External"/>
	<Relationship Id="rId126" Type="http://schemas.openxmlformats.org/officeDocument/2006/relationships/hyperlink" Target="consultantplus://offline/ref=4716D83BA82A8ABB89C12C91EAB53F91CEEB14C05735EA744CE716626CCD4B940CEE6FC543332E9B438B816C047DA0978925E373665B2A2F0D8DA0O3O9J" TargetMode = "External"/>
	<Relationship Id="rId127" Type="http://schemas.openxmlformats.org/officeDocument/2006/relationships/hyperlink" Target="consultantplus://offline/ref=4716D83BA82A8ABB89C12C91EAB53F91CEEB14C05931E0724BE716626CCD4B940CEE6FD7436B229941918969112BF1D1ODOFJ" TargetMode = "External"/>
	<Relationship Id="rId128" Type="http://schemas.openxmlformats.org/officeDocument/2006/relationships/hyperlink" Target="consultantplus://offline/ref=4716D83BA82A8ABB89C12C91EAB53F91CEEB14C05735EA744CE716626CCD4B940CEE6FC543332E9B438B816E047DA0978925E373665B2A2F0D8DA0O3O9J" TargetMode = "External"/>
	<Relationship Id="rId129" Type="http://schemas.openxmlformats.org/officeDocument/2006/relationships/hyperlink" Target="consultantplus://offline/ref=4716D83BA82A8ABB89C12C91EAB53F91CEEB14C05735EA744CE716626CCD4B940CEE6FC543332E9B438B816F047DA0978925E373665B2A2F0D8DA0O3O9J" TargetMode = "External"/>
	<Relationship Id="rId130" Type="http://schemas.openxmlformats.org/officeDocument/2006/relationships/hyperlink" Target="consultantplus://offline/ref=4716D83BA82A8ABB89C12C91EAB53F91CEEB14C05735EA744CE716626CCD4B940CEE6FC543332E9B438B8169047DA0978925E373665B2A2F0D8DA0O3O9J" TargetMode = "External"/>
	<Relationship Id="rId131" Type="http://schemas.openxmlformats.org/officeDocument/2006/relationships/hyperlink" Target="consultantplus://offline/ref=4716D83BA82A8ABB89C12C91EAB53F91CEEB14C05735EA744CE716626CCD4B940CEE6FC543332E9B438B816B047DA0978925E373665B2A2F0D8DA0O3O9J" TargetMode = "External"/>
	<Relationship Id="rId132" Type="http://schemas.openxmlformats.org/officeDocument/2006/relationships/hyperlink" Target="consultantplus://offline/ref=4716D83BA82A8ABB89C1329CFCD9659CCEE34ACB5239E82412B84D3F3BC441C34BA13687073E2C9C4184DD3D4B7CFCD1DE36E17466592F33O0OCJ" TargetMode = "External"/>
	<Relationship Id="rId133" Type="http://schemas.openxmlformats.org/officeDocument/2006/relationships/hyperlink" Target="consultantplus://offline/ref=4716D83BA82A8ABB89C12C91EAB53F91CEEB14C05834E27246E716626CCD4B940CEE6FD7436B229941918969112BF1D1ODOFJ" TargetMode = "External"/>
	<Relationship Id="rId134" Type="http://schemas.openxmlformats.org/officeDocument/2006/relationships/hyperlink" Target="consultantplus://offline/ref=4716D83BA82A8ABB89C12C91EAB53F91CEEB14C05735EA744CE716626CCD4B940CEE6FC543332E9B438B8164047DA0978925E373665B2A2F0D8DA0O3O9J" TargetMode = "External"/>
	<Relationship Id="rId135" Type="http://schemas.openxmlformats.org/officeDocument/2006/relationships/hyperlink" Target="consultantplus://offline/ref=4716D83BA82A8ABB89C1329CFCD9659CC8E143C95138E82412B84D3F3BC441C359A16E8B053C319B46918B6C0DO2OAJ" TargetMode = "External"/>
	<Relationship Id="rId136" Type="http://schemas.openxmlformats.org/officeDocument/2006/relationships/hyperlink" Target="consultantplus://offline/ref=4716D83BA82A8ABB89C12C91EAB53F91CEEB14C05931E0724BE716626CCD4B940CEE6FD7436B229941918969112BF1D1ODOFJ" TargetMode = "External"/>
	<Relationship Id="rId137" Type="http://schemas.openxmlformats.org/officeDocument/2006/relationships/hyperlink" Target="consultantplus://offline/ref=4716D83BA82A8ABB89C12C91EAB53F91CEEB14C05539E2754AE716626CCD4B940CEE6FD7436B229941918969112BF1D1ODOFJ" TargetMode = "External"/>
	<Relationship Id="rId138" Type="http://schemas.openxmlformats.org/officeDocument/2006/relationships/hyperlink" Target="consultantplus://offline/ref=4716D83BA82A8ABB89C12C91EAB53F91CEEB14C05530E37046E716626CCD4B940CEE6FD7436B229941918969112BF1D1ODOFJ" TargetMode = "External"/>
	<Relationship Id="rId139" Type="http://schemas.openxmlformats.org/officeDocument/2006/relationships/hyperlink" Target="consultantplus://offline/ref=4716D83BA82A8ABB89C12C91EAB53F91CEEB14C05933E77B4AE716626CCD4B940CEE6FD7436B229941918969112BF1D1ODOFJ" TargetMode = "External"/>
	<Relationship Id="rId140" Type="http://schemas.openxmlformats.org/officeDocument/2006/relationships/hyperlink" Target="consultantplus://offline/ref=4716D83BA82A8ABB89C12C91EAB53F91CEEB14C05735EA744CE716626CCD4B940CEE6FC543332E9B438B8165047DA0978925E373665B2A2F0D8DA0O3O9J" TargetMode = "External"/>
	<Relationship Id="rId141" Type="http://schemas.openxmlformats.org/officeDocument/2006/relationships/hyperlink" Target="consultantplus://offline/ref=4716D83BA82A8ABB89C1329CFCD9659CCEE34ACB5239E82412B84D3F3BC441C34BA13687073E2C984584DD3D4B7CFCD1DE36E17466592F33O0OCJ" TargetMode = "External"/>
	<Relationship Id="rId142" Type="http://schemas.openxmlformats.org/officeDocument/2006/relationships/hyperlink" Target="consultantplus://offline/ref=4716D83BA82A8ABB89C1329CFCD9659CCEE34ACB5239E82412B84D3F3BC441C34BA13687073E2C984584DD3D4B7CFCD1DE36E17466592F33O0OCJ" TargetMode = "External"/>
	<Relationship Id="rId143" Type="http://schemas.openxmlformats.org/officeDocument/2006/relationships/hyperlink" Target="consultantplus://offline/ref=4716D83BA82A8ABB89C12C91EAB53F91CEEB14C05930E3744CE716626CCD4B940CEE6FC543332E9B438B8F6A047DA0978925E373665B2A2F0D8DA0O3O9J" TargetMode = "External"/>
	<Relationship Id="rId144" Type="http://schemas.openxmlformats.org/officeDocument/2006/relationships/hyperlink" Target="consultantplus://offline/ref=4716D83BA82A8ABB89C12C91EAB53F91CEEB14C05930E3744CE716626CCD4B940CEE6FC543332E9B438B8F6B047DA0978925E373665B2A2F0D8DA0O3O9J" TargetMode = "External"/>
	<Relationship Id="rId145" Type="http://schemas.openxmlformats.org/officeDocument/2006/relationships/hyperlink" Target="consultantplus://offline/ref=4716D83BA82A8ABB89C12C91EAB53F91CEEB14C05735EA744CE716626CCD4B940CEE6FC543332E9B438B806D047DA0978925E373665B2A2F0D8DA0O3O9J" TargetMode = "External"/>
	<Relationship Id="rId146" Type="http://schemas.openxmlformats.org/officeDocument/2006/relationships/hyperlink" Target="consultantplus://offline/ref=4716D83BA82A8ABB89C12C91EAB53F91CEEB14C05930E3744CE716626CCD4B940CEE6FC543332E9B438B8F64047DA0978925E373665B2A2F0D8DA0O3O9J" TargetMode = "External"/>
	<Relationship Id="rId147" Type="http://schemas.openxmlformats.org/officeDocument/2006/relationships/hyperlink" Target="consultantplus://offline/ref=4716D83BA82A8ABB89C12C91EAB53F91CEEB14C05735EA744CE716626CCD4B940CEE6FC543332E9B438A886E047DA0978925E373665B2A2F0D8DA0O3O9J" TargetMode = "External"/>
	<Relationship Id="rId148" Type="http://schemas.openxmlformats.org/officeDocument/2006/relationships/hyperlink" Target="consultantplus://offline/ref=4716D83BA82A8ABB89C12C91EAB53F91CEEB14C05735EA744CE716626CCD4B940CEE6FC543332E9B438A886E047DA0978925E373665B2A2F0D8DA0O3O9J" TargetMode = "External"/>
	<Relationship Id="rId149" Type="http://schemas.openxmlformats.org/officeDocument/2006/relationships/hyperlink" Target="consultantplus://offline/ref=4716D83BA82A8ABB89C12C91EAB53F91CEEB14C05930E3744CE716626CCD4B940CEE6FC543332E9B438B8164047DA0978925E373665B2A2F0D8DA0O3O9J" TargetMode = "External"/>
	<Relationship Id="rId150" Type="http://schemas.openxmlformats.org/officeDocument/2006/relationships/hyperlink" Target="consultantplus://offline/ref=4716D83BA82A8ABB89C12C91EAB53F91CEEB14C05735EA744CE716626CCD4B940CEE6FC543332E9B438A8A6C047DA0978925E373665B2A2F0D8DA0O3O9J" TargetMode = "External"/>
	<Relationship Id="rId151" Type="http://schemas.openxmlformats.org/officeDocument/2006/relationships/hyperlink" Target="consultantplus://offline/ref=4716D83BA82A8ABB89C12C91EAB53F91CEEB14C05735EA744CE716626CCD4B940CEE6FC543332E9B438A8A6E047DA0978925E373665B2A2F0D8DA0O3O9J" TargetMode = "External"/>
	<Relationship Id="rId152" Type="http://schemas.openxmlformats.org/officeDocument/2006/relationships/hyperlink" Target="consultantplus://offline/ref=4716D83BA82A8ABB89C12C91EAB53F91CEEB14C05332EB704FE716626CCD4B940CEE6FC543332E9B438F886F047DA0978925E373665B2A2F0D8DA0O3O9J" TargetMode = "External"/>
	<Relationship Id="rId153" Type="http://schemas.openxmlformats.org/officeDocument/2006/relationships/hyperlink" Target="consultantplus://offline/ref=4716D83BA82A8ABB89C12C91EAB53F91CEEB14C05735EA744CE716626CCD4B940CEE6FC543332E9B438A8A6F047DA0978925E373665B2A2F0D8DA0O3O9J" TargetMode = "External"/>
	<Relationship Id="rId154" Type="http://schemas.openxmlformats.org/officeDocument/2006/relationships/hyperlink" Target="consultantplus://offline/ref=4716D83BA82A8ABB89C1329CFCD9659CC3E643C8533AB52E1AE1413D3CCB1ED44CE83A86073E2E9D48DBD8285A24F3D1C228E46F7A5B2DO3O2J" TargetMode = "External"/>
	<Relationship Id="rId155" Type="http://schemas.openxmlformats.org/officeDocument/2006/relationships/hyperlink" Target="consultantplus://offline/ref=4716D83BA82A8ABB89C1329CFCD9659CC9E042CD5638E82412B84D3F3BC441C34BA13687073E2F9B4B84DD3D4B7CFCD1DE36E17466592F33O0OCJ" TargetMode = "External"/>
	<Relationship Id="rId156" Type="http://schemas.openxmlformats.org/officeDocument/2006/relationships/hyperlink" Target="consultantplus://offline/ref=4716D83BA82A8ABB89C1329CFCD9659CC3E949CA503AB52E1AE1413D3CCB1EC64CB0368405202F9E5D8D896EO0OCJ" TargetMode = "External"/>
	<Relationship Id="rId157" Type="http://schemas.openxmlformats.org/officeDocument/2006/relationships/hyperlink" Target="consultantplus://offline/ref=4716D83BA82A8ABB89C1329CFCD9659CC2E74BCB513AB52E1AE1413D3CCB1ED44CE83A86073E2E9B48DBD8285A24F3D1C228E46F7A5B2DO3O2J" TargetMode = "External"/>
	<Relationship Id="rId158" Type="http://schemas.openxmlformats.org/officeDocument/2006/relationships/hyperlink" Target="consultantplus://offline/ref=4716D83BA82A8ABB89C1329CFCD9659CCEE24ACC5536E82412B84D3F3BC441C34BA136870736269B48DBD8285A24F3D1C228E46F7A5B2DO3O2J" TargetMode = "External"/>
	<Relationship Id="rId159" Type="http://schemas.openxmlformats.org/officeDocument/2006/relationships/hyperlink" Target="consultantplus://offline/ref=4716D83BA82A8ABB89C12C91EAB53F91CEEB14C05834E27246E716626CCD4B940CEE6FC543332E9B438F886E047DA0978925E373665B2A2F0D8DA0O3O9J" TargetMode = "External"/>
	<Relationship Id="rId160" Type="http://schemas.openxmlformats.org/officeDocument/2006/relationships/hyperlink" Target="consultantplus://offline/ref=4716D83BA82A8ABB89C12C91EAB53F91CEEB14C05434E1774DE716626CCD4B940CEE6FC543332E9B438D806A047DA0978925E373665B2A2F0D8DA0O3O9J" TargetMode = "External"/>
	<Relationship Id="rId161" Type="http://schemas.openxmlformats.org/officeDocument/2006/relationships/hyperlink" Target="consultantplus://offline/ref=4716D83BA82A8ABB89C1329CFCD9659CC9E44BCF5834E82412B84D3F3BC441C359A16E8B053C319B46918B6C0DO2OAJ" TargetMode = "External"/>
	<Relationship Id="rId162" Type="http://schemas.openxmlformats.org/officeDocument/2006/relationships/hyperlink" Target="consultantplus://offline/ref=4716D83BA82A8ABB89C12C91EAB53F91CEEB14C05735EA744CE716626CCD4B940CEE6FC543332E9B438A8A69047DA0978925E373665B2A2F0D8DA0O3O9J" TargetMode = "External"/>
	<Relationship Id="rId163" Type="http://schemas.openxmlformats.org/officeDocument/2006/relationships/hyperlink" Target="consultantplus://offline/ref=4716D83BA82A8ABB89C12C91EAB53F91CEEB14C05735EA744CE716626CCD4B940CEE6FC543332E9B438A8A6A047DA0978925E373665B2A2F0D8DA0O3O9J" TargetMode = "External"/>
	<Relationship Id="rId164" Type="http://schemas.openxmlformats.org/officeDocument/2006/relationships/hyperlink" Target="consultantplus://offline/ref=4716D83BA82A8ABB89C12C91EAB53F91CEEB14C05735EA744CE716626CCD4B940CEE6FC543332E9B438A8A6B047DA0978925E373665B2A2F0D8DA0O3O9J" TargetMode = "External"/>
	<Relationship Id="rId165" Type="http://schemas.openxmlformats.org/officeDocument/2006/relationships/image" Target="media/image2.wmf"/>
	<Relationship Id="rId166" Type="http://schemas.openxmlformats.org/officeDocument/2006/relationships/hyperlink" Target="consultantplus://offline/ref=4716D83BA82A8ABB89C12C91EAB53F91CEEB14C05739EA724FE716626CCD4B940CEE6FC543332E9B438A896B047DA0978925E373665B2A2F0D8DA0O3O9J" TargetMode = "External"/>
	<Relationship Id="rId167" Type="http://schemas.openxmlformats.org/officeDocument/2006/relationships/hyperlink" Target="consultantplus://offline/ref=4716D83BA82A8ABB89C12C91EAB53F91CEEB14C05739EA724FE716626CCD4B940CEE6FC543332E9B438A8965047DA0978925E373665B2A2F0D8DA0O3O9J" TargetMode = "External"/>
	<Relationship Id="rId168" Type="http://schemas.openxmlformats.org/officeDocument/2006/relationships/hyperlink" Target="consultantplus://offline/ref=4716D83BA82A8ABB89C12C91EAB53F91CEEB14C05930E3744CE716626CCD4B940CEE6FC543332E9B438A896A047DA0978925E373665B2A2F0D8DA0O3O9J" TargetMode = "External"/>
	<Relationship Id="rId169" Type="http://schemas.openxmlformats.org/officeDocument/2006/relationships/hyperlink" Target="consultantplus://offline/ref=4716D83BA82A8ABB89C12C91EAB53F91CEEB14C05930E3744CE716626CCD4B940CEE6FC543332E9B438A8964047DA0978925E373665B2A2F0D8DA0O3O9J" TargetMode = "External"/>
	<Relationship Id="rId170" Type="http://schemas.openxmlformats.org/officeDocument/2006/relationships/hyperlink" Target="consultantplus://offline/ref=4716D83BA82A8ABB89C12C91EAB53F91CEEB14C05735EA744CE716626CCD4B940CEE6FC543332E9B438A8D6C047DA0978925E373665B2A2F0D8DA0O3O9J" TargetMode = "External"/>
	<Relationship Id="rId171" Type="http://schemas.openxmlformats.org/officeDocument/2006/relationships/hyperlink" Target="consultantplus://offline/ref=4716D83BA82A8ABB89C12C91EAB53F91CEEB14C05930E3744CE716626CCD4B940CEE6FC543332E9B438A886C047DA0978925E373665B2A2F0D8DA0O3O9J" TargetMode = "External"/>
	<Relationship Id="rId172" Type="http://schemas.openxmlformats.org/officeDocument/2006/relationships/hyperlink" Target="consultantplus://offline/ref=4716D83BA82A8ABB89C12C91EAB53F91CEEB14C05735EA744CE716626CCD4B940CEE6FC543332E9B438A8C6A047DA0978925E373665B2A2F0D8DA0O3O9J" TargetMode = "External"/>
	<Relationship Id="rId173" Type="http://schemas.openxmlformats.org/officeDocument/2006/relationships/hyperlink" Target="consultantplus://offline/ref=4716D83BA82A8ABB89C12C91EAB53F91CEEB14C05735EA744CE716626CCD4B940CEE6FC543332E9B438A8F6C047DA0978925E373665B2A2F0D8DA0O3O9J" TargetMode = "External"/>
	<Relationship Id="rId174" Type="http://schemas.openxmlformats.org/officeDocument/2006/relationships/hyperlink" Target="consultantplus://offline/ref=4716D83BA82A8ABB89C12C91EAB53F91CEEB14C05735EA744CE716626CCD4B940CEE6FC543332E9B438A8F6D047DA0978925E373665B2A2F0D8DA0O3O9J" TargetMode = "External"/>
	<Relationship Id="rId175" Type="http://schemas.openxmlformats.org/officeDocument/2006/relationships/hyperlink" Target="consultantplus://offline/ref=4716D83BA82A8ABB89C12C91EAB53F91CEEB14C05834E7714DE716626CCD4B940CEE6FD7436B229941918969112BF1D1ODOFJ" TargetMode = "External"/>
	<Relationship Id="rId176" Type="http://schemas.openxmlformats.org/officeDocument/2006/relationships/hyperlink" Target="consultantplus://offline/ref=4716D83BA82A8ABB89C12C91EAB53F91CEEB14C05930E3744CE716626CCD4B940CEE6FC543332E9B438A8B68047DA0978925E373665B2A2F0D8DA0O3O9J" TargetMode = "External"/>
	<Relationship Id="rId177" Type="http://schemas.openxmlformats.org/officeDocument/2006/relationships/hyperlink" Target="consultantplus://offline/ref=4716D83BA82A8ABB89C12C91EAB53F91CEEB14C05833E7704FE716626CCD4B940CEE6FC543332E9B438D8F69047DA0978925E373665B2A2F0D8DA0O3O9J" TargetMode = "External"/>
	<Relationship Id="rId178" Type="http://schemas.openxmlformats.org/officeDocument/2006/relationships/hyperlink" Target="consultantplus://offline/ref=4716D83BA82A8ABB89C12C91EAB53F91CEEB14C05835E2714EE716626CCD4B940CEE6FC543332E9B438A8F6D047DA0978925E373665B2A2F0D8DA0O3O9J" TargetMode = "External"/>
	<Relationship Id="rId179" Type="http://schemas.openxmlformats.org/officeDocument/2006/relationships/hyperlink" Target="consultantplus://offline/ref=4716D83BA82A8ABB89C12C91EAB53F91CEEB14C05835E2714EE716626CCD4B940CEE6FC543332E9B438A8F6D047DA0978925E373665B2A2F0D8DA0O3O9J" TargetMode = "External"/>
	<Relationship Id="rId180" Type="http://schemas.openxmlformats.org/officeDocument/2006/relationships/hyperlink" Target="consultantplus://offline/ref=4716D83BA82A8ABB89C12C91EAB53F91CEEB14C05930E3744CE716626CCD4B940CEE6FC543332E9B438A8D6E047DA0978925E373665B2A2F0D8DA0O3O9J" TargetMode = "External"/>
	<Relationship Id="rId181" Type="http://schemas.openxmlformats.org/officeDocument/2006/relationships/hyperlink" Target="consultantplus://offline/ref=4716D83BA82A8ABB89C1329CFCD9659CCEE248CE5333E82412B84D3F3BC441C359A16E8B053C319B46918B6C0DO2OAJ" TargetMode = "External"/>
	<Relationship Id="rId182" Type="http://schemas.openxmlformats.org/officeDocument/2006/relationships/hyperlink" Target="consultantplus://offline/ref=4716D83BA82A8ABB89C1329CFCD9659CC9E84ACF5832E82412B84D3F3BC441C34BA13687073E2F9A4384DD3D4B7CFCD1DE36E17466592F33O0OCJ" TargetMode = "External"/>
	<Relationship Id="rId183" Type="http://schemas.openxmlformats.org/officeDocument/2006/relationships/hyperlink" Target="consultantplus://offline/ref=4716D83BA82A8ABB89C12C91EAB53F91CEEB14C05839E5764CE716626CCD4B940CEE6FC543332E9B438F896B047DA0978925E373665B2A2F0D8DA0O3O9J" TargetMode = "External"/>
	<Relationship Id="rId184" Type="http://schemas.openxmlformats.org/officeDocument/2006/relationships/hyperlink" Target="consultantplus://offline/ref=4716D83BA82A8ABB89C12C91EAB53F91CEEB14C05839E5764CE716626CCD4B940CEE6FC543332E9B438F8965047DA0978925E373665B2A2F0D8DA0O3O9J" TargetMode = "External"/>
	<Relationship Id="rId185" Type="http://schemas.openxmlformats.org/officeDocument/2006/relationships/hyperlink" Target="consultantplus://offline/ref=4716D83BA82A8ABB89C12C91EAB53F91CEEB14C05930E3744CE716626CCD4B940CEE6FC543332E9B438A8C6A047DA0978925E373665B2A2F0D8DA0O3O9J" TargetMode = "External"/>
	<Relationship Id="rId186" Type="http://schemas.openxmlformats.org/officeDocument/2006/relationships/hyperlink" Target="consultantplus://offline/ref=4716D83BA82A8ABB89C12C91EAB53F91CEEB14C05739EA724FE716626CCD4B940CEE6FC543332E9B438A806A047DA0978925E373665B2A2F0D8DA0O3O9J" TargetMode = "External"/>
	<Relationship Id="rId187" Type="http://schemas.openxmlformats.org/officeDocument/2006/relationships/hyperlink" Target="consultantplus://offline/ref=4716D83BA82A8ABB89C12C91EAB53F91CEEB14C05833E7704FE716626CCD4B940CEE6FC543332E9B438D8F6A047DA0978925E373665B2A2F0D8DA0O3O9J" TargetMode = "External"/>
	<Relationship Id="rId188" Type="http://schemas.openxmlformats.org/officeDocument/2006/relationships/hyperlink" Target="consultantplus://offline/ref=4716D83BA82A8ABB89C12C91EAB53F91CEEB14C05835E2714EE716626CCD4B940CEE6FC543332E9B43898A68047DA0978925E373665B2A2F0D8DA0O3O9J" TargetMode = "External"/>
	<Relationship Id="rId189" Type="http://schemas.openxmlformats.org/officeDocument/2006/relationships/hyperlink" Target="consultantplus://offline/ref=4716D83BA82A8ABB89C12C91EAB53F91CEEB14C05930E3744CE716626CCD4B940CEE6FC543332E9B43898B6F047DA0978925E373665B2A2F0D8DA0O3O9J" TargetMode = "External"/>
	<Relationship Id="rId190" Type="http://schemas.openxmlformats.org/officeDocument/2006/relationships/header" Target="header2.xml"/>
	<Relationship Id="rId191" Type="http://schemas.openxmlformats.org/officeDocument/2006/relationships/footer" Target="footer2.xml"/>
	<Relationship Id="rId192" Type="http://schemas.openxmlformats.org/officeDocument/2006/relationships/hyperlink" Target="consultantplus://offline/ref=4716D83BA82A8ABB89C12C91EAB53F91CEEB14C05930E3744CE716626CCD4B940CEE6FC543332E9B43898B6F047DA0978925E373665B2A2F0D8DA0O3O9J" TargetMode = "External"/>
	<Relationship Id="rId193" Type="http://schemas.openxmlformats.org/officeDocument/2006/relationships/hyperlink" Target="consultantplus://offline/ref=A7BCC4FC4DDAACDFF4B9714E4D32E1B8331685AE8E1FCC9BBDE4966BA6DA00E1830F46BFB1F4CA72D939910881C6FA28EC75C7F007C6C608A0DE8FP5O3J" TargetMode = "External"/>
	<Relationship Id="rId194" Type="http://schemas.openxmlformats.org/officeDocument/2006/relationships/hyperlink" Target="consultantplus://offline/ref=A7BCC4FC4DDAACDFF4B9714E4D32E1B8331685AE811FC49EBFE4966BA6DA00E1830F46BFB1F4CA72D939970E81C6FA28EC75C7F007C6C608A0DE8FP5O3J" TargetMode = "External"/>
	<Relationship Id="rId195" Type="http://schemas.openxmlformats.org/officeDocument/2006/relationships/hyperlink" Target="consultantplus://offline/ref=A7BCC4FC4DDAACDFF4B9714E4D32E1B8331685AE811FC49EBFE4966BA6DA00E1830F46BFB1F4CA72D939970D81C6FA28EC75C7F007C6C608A0DE8FP5O3J" TargetMode = "External"/>
	<Relationship Id="rId196" Type="http://schemas.openxmlformats.org/officeDocument/2006/relationships/hyperlink" Target="consultantplus://offline/ref=A7BCC4FC4DDAACDFF4B9714E4D32E1B8331685AE811FC49EBFE4966BA6DA00E1830F46BFB1F4CA72D939970C81C6FA28EC75C7F007C6C608A0DE8FP5O3J" TargetMode = "External"/>
	<Relationship Id="rId197" Type="http://schemas.openxmlformats.org/officeDocument/2006/relationships/hyperlink" Target="consultantplus://offline/ref=A7BCC4FC4DDAACDFF4B9714E4D32E1B8331685AE811FC49EBFE4966BA6DA00E1830F46BFB1F4CA72D939970381C6FA28EC75C7F007C6C608A0DE8FP5O3J" TargetMode = "External"/>
	<Relationship Id="rId198" Type="http://schemas.openxmlformats.org/officeDocument/2006/relationships/hyperlink" Target="consultantplus://offline/ref=A7BCC4FC4DDAACDFF4B9714E4D32E1B8331685AE8E13CC9DBEE4966BA6DA00E1830F46BFB1F4CA72D837960F81C6FA28EC75C7F007C6C608A0DE8FP5O3J" TargetMode = "External"/>
	<Relationship Id="rId199" Type="http://schemas.openxmlformats.org/officeDocument/2006/relationships/hyperlink" Target="consultantplus://offline/ref=A7BCC4FC4DDAACDFF4B9714E4D32E1B8331685AE8119C19FBEE4966BA6DA00E1830F46BFB1F4CA72D93D920D81C6FA28EC75C7F007C6C608A0DE8FP5O3J" TargetMode = "External"/>
	<Relationship Id="rId200" Type="http://schemas.openxmlformats.org/officeDocument/2006/relationships/hyperlink" Target="consultantplus://offline/ref=A7BCC4FC4DDAACDFF4B9714E4D32E1B8331685AE811FC49EBFE4966BA6DA00E1830F46BFB1F4CA72D939970F81C6FA28EC75C7F007C6C608A0DE8FP5O3J" TargetMode = "External"/>
	<Relationship Id="rId201" Type="http://schemas.openxmlformats.org/officeDocument/2006/relationships/hyperlink" Target="consultantplus://offline/ref=A7BCC4FC4DDAACDFF4B9714E4D32E1B8331685AE801AC59BBDE4966BA6DA00E1830F46BFB1F4CA72D939960881C6FA28EC75C7F007C6C608A0DE8FP5O3J" TargetMode = "External"/>
	<Relationship Id="rId202" Type="http://schemas.openxmlformats.org/officeDocument/2006/relationships/hyperlink" Target="consultantplus://offline/ref=A7BCC4FC4DDAACDFF4B96F435B5EBBB5331EDBA58B13CECBE3BBCD36F1D30AB6C4401FFDF5F9C871DF34C05ACEC7A66EBB66C5F707C4C314PAO1J" TargetMode = "External"/>
	<Relationship Id="rId203" Type="http://schemas.openxmlformats.org/officeDocument/2006/relationships/hyperlink" Target="consultantplus://offline/ref=A7BCC4FC4DDAACDFF4B96F435B5EBBB5331EDBA58B13CECBE3BBCD36F1D30AB6C4401FFDF5F9C871DF34C05ACEC7A66EBB66C5F707C4C314PAO1J" TargetMode = "External"/>
	<Relationship Id="rId204" Type="http://schemas.openxmlformats.org/officeDocument/2006/relationships/hyperlink" Target="consultantplus://offline/ref=A7BCC4FC4DDAACDFF4B9714E4D32E1B8331685AE801AC59BBDE4966BA6DA00E1830F46BFB1F4CA72D83C940281C6FA28EC75C7F007C6C608A0DE8FP5O3J" TargetMode = "External"/>
	<Relationship Id="rId205" Type="http://schemas.openxmlformats.org/officeDocument/2006/relationships/hyperlink" Target="consultantplus://offline/ref=A7BCC4FC4DDAACDFF4B96F435B5EBBB5331EDBA58B13CECBE3BBCD36F1D30AB6C4401FFDF5F9C871DF34C05ACEC7A66EBB66C5F707C4C314PAO1J" TargetMode = "External"/>
	<Relationship Id="rId206" Type="http://schemas.openxmlformats.org/officeDocument/2006/relationships/hyperlink" Target="consultantplus://offline/ref=A7BCC4FC4DDAACDFF4B96F435B5EBBB5331EDBA58B13CECBE3BBCD36F1D30AB6C4401FFDF5F9C871DF34C05ACEC7A66EBB66C5F707C4C314PAO1J" TargetMode = "External"/>
	<Relationship Id="rId207" Type="http://schemas.openxmlformats.org/officeDocument/2006/relationships/hyperlink" Target="consultantplus://offline/ref=A7BCC4FC4DDAACDFF4B9714E4D32E1B8331685AE8E13CC9DBEE4966BA6DA00E1830F46BFB1F4CA72DA3C950281C6FA28EC75C7F007C6C608A0DE8FP5O3J" TargetMode = "External"/>
	<Relationship Id="rId208" Type="http://schemas.openxmlformats.org/officeDocument/2006/relationships/hyperlink" Target="consultantplus://offline/ref=A7BCC4FC4DDAACDFF4B9714E4D32E1B8331685AE8119C19FBEE4966BA6DA00E1830F46BFB1F4CA72D93D920D81C6FA28EC75C7F007C6C608A0DE8FP5O3J" TargetMode = "External"/>
	<Relationship Id="rId209" Type="http://schemas.openxmlformats.org/officeDocument/2006/relationships/hyperlink" Target="consultantplus://offline/ref=A7BCC4FC4DDAACDFF4B9714E4D32E1B8331685AE811FC49EBFE4966BA6DA00E1830F46BFB1F4CA72D939970F81C6FA28EC75C7F007C6C608A0DE8FP5O3J" TargetMode = "External"/>
	<Relationship Id="rId210" Type="http://schemas.openxmlformats.org/officeDocument/2006/relationships/hyperlink" Target="consultantplus://offline/ref=A7BCC4FC4DDAACDFF4B9714E4D32E1B8331685AE801AC59BBDE4966BA6DA00E1830F46BFB1F4CA72D939960881C6FA28EC75C7F007C6C608A0DE8FP5O3J" TargetMode = "External"/>
	<Relationship Id="rId211" Type="http://schemas.openxmlformats.org/officeDocument/2006/relationships/hyperlink" Target="consultantplus://offline/ref=A7BCC4FC4DDAACDFF4B96F435B5EBBB5331EDBA58B13CECBE3BBCD36F1D30AB6C4401FFDF5F9C871DF34C05ACEC7A66EBB66C5F707C4C314PAO1J" TargetMode = "External"/>
	<Relationship Id="rId212" Type="http://schemas.openxmlformats.org/officeDocument/2006/relationships/hyperlink" Target="consultantplus://offline/ref=A7BCC4FC4DDAACDFF4B9714E4D32E1B8331685AE801AC59BBDE4966BA6DA00E1830F46BFB1F4CA72D939960881C6FA28EC75C7F007C6C608A0DE8FP5O3J" TargetMode = "External"/>
	<Relationship Id="rId213" Type="http://schemas.openxmlformats.org/officeDocument/2006/relationships/hyperlink" Target="consultantplus://offline/ref=A7BCC4FC4DDAACDFF4B96F435B5EBBB5331EDBA58B13CECBE3BBCD36F1D30AB6C4401FFDF5F9C871DF34C05ACEC7A66EBB66C5F707C4C314PAO1J" TargetMode = "External"/>
	<Relationship Id="rId214" Type="http://schemas.openxmlformats.org/officeDocument/2006/relationships/hyperlink" Target="consultantplus://offline/ref=4CDC0B3E5F0C586CC3F9F219D0493645B02C9A6A34D20C06452DAD605AA9FC6CC44AB4994203BDE99F304BB9A4A24257B716D518E19CD3159D3219Q5ODJ" TargetMode = "External"/>
	<Relationship Id="rId215" Type="http://schemas.openxmlformats.org/officeDocument/2006/relationships/hyperlink" Target="consultantplus://offline/ref=4CDC0B3E5F0C586CC3F9F219D0493645B02C9A6A35D70D03472DAD605AA9FC6CC44AB4994203BDE99F304CB8A4A24257B716D518E19CD3159D3219Q5ODJ" TargetMode = "External"/>
	<Relationship Id="rId216" Type="http://schemas.openxmlformats.org/officeDocument/2006/relationships/hyperlink" Target="consultantplus://offline/ref=4CDC0B3E5F0C586CC3F9F219D0493645B02C9A6A35D70D03472DAD605AA9FC6CC44AB4994203BDE99F304CB8A4A24257B716D518E19CD3159D3219Q5ODJ" TargetMode = "External"/>
	<Relationship Id="rId217" Type="http://schemas.openxmlformats.org/officeDocument/2006/relationships/hyperlink" Target="consultantplus://offline/ref=4CDC0B3E5F0C586CC3F9F219D0493645B02C9A6A34D00D02462DAD605AA9FC6CC44AB48B425BB1EB9D284EB9B1F41311QEO1J" TargetMode = "External"/>
	<Relationship Id="rId218" Type="http://schemas.openxmlformats.org/officeDocument/2006/relationships/hyperlink" Target="consultantplus://offline/ref=4CDC0B3E5F0C586CC3F9F219D0493645B02C9A6A3BD20403472DAD605AA9FC6CC44AB4994203BDE99F304BBAA4A24257B716D518E19CD3159D3219Q5ODJ" TargetMode = "External"/>
	<Relationship Id="rId219" Type="http://schemas.openxmlformats.org/officeDocument/2006/relationships/hyperlink" Target="consultantplus://offline/ref=4CDC0B3E5F0C586CC3F9F219D0493645B02C9A6A3BDE0405442DAD605AA9FC6CC44AB4994203BDE99F3347BBA4A24257B716D518E19CD3159D3219Q5ODJ" TargetMode = "External"/>
	<Relationship Id="rId220" Type="http://schemas.openxmlformats.org/officeDocument/2006/relationships/hyperlink" Target="consultantplus://offline/ref=4CDC0B3E5F0C586CC3F9F219D0493645B02C9A6A34D20C06452DAD605AA9FC6CC44AB4994203BDE99F304DB5A4A24257B716D518E19CD3159D3219Q5ODJ" TargetMode = "External"/>
	<Relationship Id="rId221" Type="http://schemas.openxmlformats.org/officeDocument/2006/relationships/hyperlink" Target="consultantplus://offline/ref=4CDC0B3E5F0C586CC3F9F219D0493645B02C9A6A3BDE0405442DAD605AA9FC6CC44AB4994203BDE99F304EBCA4A24257B716D518E19CD3159D3219Q5ODJ" TargetMode = "External"/>
	<Relationship Id="rId222" Type="http://schemas.openxmlformats.org/officeDocument/2006/relationships/hyperlink" Target="consultantplus://offline/ref=4CDC0B3E5F0C586CC3F9F219D0493645B02C9A6A34D20C06452DAD605AA9FC6CC44AB4994203BDE99F304ABCA4A24257B716D518E19CD3159D3219Q5ODJ" TargetMode = "External"/>
	<Relationship Id="rId223" Type="http://schemas.openxmlformats.org/officeDocument/2006/relationships/hyperlink" Target="consultantplus://offline/ref=4CDC0B3E5F0C586CC3F9F219D0493645B02C9A6A34D20C06452DAD605AA9FC6CC44AB4994203BDE99F304ABDA4A24257B716D518E19CD3159D3219Q5ODJ" TargetMode = "External"/>
	<Relationship Id="rId224" Type="http://schemas.openxmlformats.org/officeDocument/2006/relationships/image" Target="media/image3.wmf"/>
	<Relationship Id="rId225" Type="http://schemas.openxmlformats.org/officeDocument/2006/relationships/hyperlink" Target="consultantplus://offline/ref=4CDC0B3E5F0C586CC3F9F219D0493645B02C9A6A3BDE0405442DAD605AA9FC6CC44AB4994203BDE99F304EBEA4A24257B716D518E19CD3159D3219Q5ODJ" TargetMode = "External"/>
	<Relationship Id="rId226" Type="http://schemas.openxmlformats.org/officeDocument/2006/relationships/hyperlink" Target="consultantplus://offline/ref=4CDC0B3E5F0C586CC3F9F219D0493645B02C9A6A3BDE0405442DAD605AA9FC6CC44AB4994203BDE99F304EB8A4A24257B716D518E19CD3159D3219Q5ODJ" TargetMode = "External"/>
	<Relationship Id="rId227" Type="http://schemas.openxmlformats.org/officeDocument/2006/relationships/hyperlink" Target="consultantplus://offline/ref=4CDC0B3E5F0C586CC3F9F219D0493645B02C9A6A3BDE0405442DAD605AA9FC6CC44AB4994203BDE99F304EB9A4A24257B716D518E19CD3159D3219Q5ODJ" TargetMode = "External"/>
	<Relationship Id="rId228" Type="http://schemas.openxmlformats.org/officeDocument/2006/relationships/hyperlink" Target="consultantplus://offline/ref=4CDC0B3E5F0C586CC3F9F219D0493645B02C9A6A34D20C06452DAD605AA9FC6CC44AB4994203BDE99F304ABFA4A24257B716D518E19CD3159D3219Q5ODJ" TargetMode = "External"/>
	<Relationship Id="rId229" Type="http://schemas.openxmlformats.org/officeDocument/2006/relationships/hyperlink" Target="consultantplus://offline/ref=4CDC0B3E5F0C586CC3F9EC14C6256C48B023C06034D706531972F63D0DA0F63B9105B5D7040CA2E99A284CBCADQFO5J" TargetMode = "External"/>
	<Relationship Id="rId230" Type="http://schemas.openxmlformats.org/officeDocument/2006/relationships/hyperlink" Target="consultantplus://offline/ref=4CDC0B3E5F0C586CC3F9F219D0493645B02C9A6A3BD20403472DAD605AA9FC6CC44AB4994203BDE99B3348B4A4A24257B716D518E19CD3159D3219Q5ODJ" TargetMode = "External"/>
	<Relationship Id="rId231" Type="http://schemas.openxmlformats.org/officeDocument/2006/relationships/hyperlink" Target="consultantplus://offline/ref=4CDC0B3E5F0C586CC3F9F219D0493645B02C9A6A3BDE0405442DAD605AA9FC6CC44AB4994203BDE99F304FBEA4A24257B716D518E19CD3159D3219Q5ODJ" TargetMode = "External"/>
	<Relationship Id="rId232" Type="http://schemas.openxmlformats.org/officeDocument/2006/relationships/hyperlink" Target="consultantplus://offline/ref=4CDC0B3E5F0C586CC3F9F219D0493645B02C9A6A34D20C06452DAD605AA9FC6CC44AB4994203BDE99F304ABAA4A24257B716D518E19CD3159D3219Q5ODJ" TargetMode = "External"/>
	<Relationship Id="rId233" Type="http://schemas.openxmlformats.org/officeDocument/2006/relationships/hyperlink" Target="consultantplus://offline/ref=4CDC0B3E5F0C586CC3F9F219D0493645B02C9A6A34D20C06452DAD605AA9FC6CC44AB4994203BDE99F304ABBA4A24257B716D518E19CD3159D3219Q5ODJ" TargetMode = "External"/>
	<Relationship Id="rId234" Type="http://schemas.openxmlformats.org/officeDocument/2006/relationships/image" Target="media/image4.wmf"/>
	<Relationship Id="rId235" Type="http://schemas.openxmlformats.org/officeDocument/2006/relationships/hyperlink" Target="consultantplus://offline/ref=4CDC0B3E5F0C586CC3F9F219D0493645B02C9A6A3BDE0405442DAD605AA9FC6CC44AB4994203BDE99F304FBFA4A24257B716D518E19CD3159D3219Q5ODJ" TargetMode = "External"/>
	<Relationship Id="rId236" Type="http://schemas.openxmlformats.org/officeDocument/2006/relationships/hyperlink" Target="consultantplus://offline/ref=4CDC0B3E5F0C586CC3F9EC14C6256C48B023C2653CDF06531972F63D0DA0F63B9105B5D7040CA2E99A284CBCADQFO5J" TargetMode = "External"/>
	<Relationship Id="rId237" Type="http://schemas.openxmlformats.org/officeDocument/2006/relationships/hyperlink" Target="consultantplus://offline/ref=4CDC0B3E5F0C586CC3F9F219D0493645B02C9A6A34D20C06452DAD605AA9FC6CC44AB4994203BDE99F304AB4A4A24257B716D518E19CD3159D3219Q5ODJ" TargetMode = "External"/>
	<Relationship Id="rId238" Type="http://schemas.openxmlformats.org/officeDocument/2006/relationships/hyperlink" Target="consultantplus://offline/ref=4CDC0B3E5F0C586CC3F9EC14C6256C48B023C06034D706531972F63D0DA0F63B9105B5D7040CA2E99A284CBCADQFO5J" TargetMode = "External"/>
	<Relationship Id="rId239" Type="http://schemas.openxmlformats.org/officeDocument/2006/relationships/hyperlink" Target="consultantplus://offline/ref=4CDC0B3E5F0C586CC3F9F219D0493645B02C9A6A3BD20403472DAD605AA9FC6CC44AB4994203BDE99B304DB5A4A24257B716D518E19CD3159D3219Q5ODJ" TargetMode = "External"/>
	<Relationship Id="rId240" Type="http://schemas.openxmlformats.org/officeDocument/2006/relationships/hyperlink" Target="consultantplus://offline/ref=4CDC0B3E5F0C586CC3F9F219D0493645B02C9A6A34D20C06452DAD605AA9FC6CC44AB4994203BDE99F304AB5A4A24257B716D518E19CD3159D3219Q5ODJ" TargetMode = "External"/>
	<Relationship Id="rId241" Type="http://schemas.openxmlformats.org/officeDocument/2006/relationships/hyperlink" Target="consultantplus://offline/ref=4CDC0B3E5F0C586CC3F9F219D0493645B02C9A6A34D20C06452DAD605AA9FC6CC44AB4994203BDE99F304BBCA4A24257B716D518E19CD3159D3219Q5ODJ" TargetMode = "External"/>
	<Relationship Id="rId242" Type="http://schemas.openxmlformats.org/officeDocument/2006/relationships/image" Target="media/image5.wmf"/>
	<Relationship Id="rId243" Type="http://schemas.openxmlformats.org/officeDocument/2006/relationships/hyperlink" Target="consultantplus://offline/ref=4CDC0B3E5F0C586CC3F9EC14C6256C48B023C2653CDF06531972F63D0DA0F63B9105B5D7040CA2E99A284CBCADQFO5J" TargetMode = "External"/>
	<Relationship Id="rId244" Type="http://schemas.openxmlformats.org/officeDocument/2006/relationships/hyperlink" Target="consultantplus://offline/ref=4CDC0B3E5F0C586CC3F9EC14C6256C48B023C06034D706531972F63D0DA0F63B9105B5D7040CA2E99A284CBCADQFO5J" TargetMode = "External"/>
	<Relationship Id="rId245" Type="http://schemas.openxmlformats.org/officeDocument/2006/relationships/hyperlink" Target="consultantplus://offline/ref=4CDC0B3E5F0C586CC3F9F219D0493645B02C9A6A3BD20403472DAD605AA9FC6CC44AB4994203BDE99B314CBFA4A24257B716D518E19CD3159D3219Q5ODJ" TargetMode = "External"/>
	<Relationship Id="rId246" Type="http://schemas.openxmlformats.org/officeDocument/2006/relationships/hyperlink" Target="consultantplus://offline/ref=4CDC0B3E5F0C586CC3F9F219D0493645B02C9A6A3BDE0405442DAD605AA9FC6CC44AB4994203BDE99F304FB9A4A24257B716D518E19CD3159D3219Q5ODJ" TargetMode = "External"/>
	<Relationship Id="rId247" Type="http://schemas.openxmlformats.org/officeDocument/2006/relationships/hyperlink" Target="consultantplus://offline/ref=4CDC0B3E5F0C586CC3F9F219D0493645B02C9A6A34D40907442DAD605AA9FC6CC44AB4994203BDE99F3448BBA4A24257B716D518E19CD3159D3219Q5ODJ" TargetMode = "External"/>
	<Relationship Id="rId248" Type="http://schemas.openxmlformats.org/officeDocument/2006/relationships/hyperlink" Target="consultantplus://offline/ref=4CDC0B3E5F0C586CC3F9F219D0493645B02C9A6A34D20C06452DAD605AA9FC6CC44AB4994203BDE99F304BBDA4A24257B716D518E19CD3159D3219Q5ODJ" TargetMode = "External"/>
	<Relationship Id="rId249" Type="http://schemas.openxmlformats.org/officeDocument/2006/relationships/hyperlink" Target="consultantplus://offline/ref=4CDC0B3E5F0C586CC3F9F219D0493645B02C9A6A34D20C06452DAD605AA9FC6CC44AB4994203BDE99F304BBEA4A24257B716D518E19CD3159D3219Q5ODJ" TargetMode = "External"/>
	<Relationship Id="rId250" Type="http://schemas.openxmlformats.org/officeDocument/2006/relationships/image" Target="media/image6.wmf"/>
	<Relationship Id="rId251" Type="http://schemas.openxmlformats.org/officeDocument/2006/relationships/hyperlink" Target="consultantplus://offline/ref=4CDC0B3E5F0C586CC3F9F219D0493645B02C9A6A34D40907442DAD605AA9FC6CC44AB4994203BDE99F3448B4A4A24257B716D518E19CD3159D3219Q5ODJ" TargetMode = "External"/>
	<Relationship Id="rId252" Type="http://schemas.openxmlformats.org/officeDocument/2006/relationships/hyperlink" Target="consultantplus://offline/ref=4CDC0B3E5F0C586CC3F9EC14C6256C48B023C2653CDF06531972F63D0DA0F63B9105B5D7040CA2E99A284CBCADQFO5J" TargetMode = "External"/>
	<Relationship Id="rId253" Type="http://schemas.openxmlformats.org/officeDocument/2006/relationships/hyperlink" Target="consultantplus://offline/ref=4CDC0B3E5F0C586CC3F9EC14C6256C48B023C06034D706531972F63D0DA0F63B9105B5D7040CA2E99A284CBCADQFO5J" TargetMode = "External"/>
	<Relationship Id="rId254" Type="http://schemas.openxmlformats.org/officeDocument/2006/relationships/hyperlink" Target="consultantplus://offline/ref=4CDC0B3E5F0C586CC3F9F219D0493645B02C9A6A3BD20403472DAD605AA9FC6CC44AB4994203BDE99B3E4EBFA4A24257B716D518E19CD3159D3219Q5ODJ" TargetMode = "External"/>
	<Relationship Id="rId255" Type="http://schemas.openxmlformats.org/officeDocument/2006/relationships/hyperlink" Target="consultantplus://offline/ref=4CDC0B3E5F0C586CC3F9F219D0493645B02C9A6A34D40907442DAD605AA9FC6CC44AB4994203BDE99F3446BDA4A24257B716D518E19CD3159D3219Q5ODJ" TargetMode = "External"/>
	<Relationship Id="rId256" Type="http://schemas.openxmlformats.org/officeDocument/2006/relationships/hyperlink" Target="consultantplus://offline/ref=4CDC0B3E5F0C586CC3F9F219D0493645B02C9A6A34D20C06452DAD605AA9FC6CC44AB4994203BDE99F304BBFA4A24257B716D518E19CD3159D3219Q5ODJ" TargetMode = "External"/>
	<Relationship Id="rId257" Type="http://schemas.openxmlformats.org/officeDocument/2006/relationships/hyperlink" Target="consultantplus://offline/ref=4CDC0B3E5F0C586CC3F9F219D0493645B02C9A6A34D20C06452DAD605AA9FC6CC44AB4994203BDE99F304BB8A4A24257B716D518E19CD3159D3219Q5ODJ" TargetMode = "External"/>
	<Relationship Id="rId258" Type="http://schemas.openxmlformats.org/officeDocument/2006/relationships/image" Target="media/image7.wmf"/>
	<Relationship Id="rId259" Type="http://schemas.openxmlformats.org/officeDocument/2006/relationships/hyperlink" Target="consultantplus://offline/ref=4CDC0B3E5F0C586CC3F9F219D0493645B02C9A6A34D40907442DAD605AA9FC6CC44AB4994203BDE99F3446BEA4A24257B716D518E19CD3159D3219Q5ODJ" TargetMode = "External"/>
	<Relationship Id="rId260" Type="http://schemas.openxmlformats.org/officeDocument/2006/relationships/hyperlink" Target="consultantplus://offline/ref=4CDC0B3E5F0C586CC3F9EC14C6256C48B023C2653CDF06531972F63D0DA0F63B9105B5D7040CA2E99A284CBCADQFO5J" TargetMode = "External"/>
	<Relationship Id="rId261" Type="http://schemas.openxmlformats.org/officeDocument/2006/relationships/hyperlink" Target="consultantplus://offline/ref=4CDC0B3E5F0C586CC3F9EC14C6256C48B023C06034D706531972F63D0DA0F63B9105B5D7040CA2E99A284CBCADQFO5J" TargetMode = "External"/>
	<Relationship Id="rId262" Type="http://schemas.openxmlformats.org/officeDocument/2006/relationships/hyperlink" Target="consultantplus://offline/ref=4CDC0B3E5F0C586CC3F9F219D0493645B02C9A6A34D40907442DAD605AA9FC6CC44AB4994203BDE99F3447B8A4A24257B716D518E19CD3159D3219Q5ODJ" TargetMode = "External"/>
	<Relationship Id="rId263" Type="http://schemas.openxmlformats.org/officeDocument/2006/relationships/hyperlink" Target="consultantplus://offline/ref=4CDC0B3E5F0C586CC3F9F219D0493645B02C9A6A34D40907442DAD605AA9FC6CC44AB4994203BDE99D3047BBA4A24257B716D518E19CD3159D3219Q5ODJ" TargetMode = "External"/>
	<Relationship Id="rId264" Type="http://schemas.openxmlformats.org/officeDocument/2006/relationships/hyperlink" Target="consultantplus://offline/ref=4CDC0B3E5F0C586CC3F9F219D0493645B02C9A6A34D20C06452DAD605AA9FC6CC44AB4994203BDE99F304BBAA4A24257B716D518E19CD3159D3219Q5ODJ" TargetMode = "External"/>
	<Relationship Id="rId265" Type="http://schemas.openxmlformats.org/officeDocument/2006/relationships/hyperlink" Target="consultantplus://offline/ref=4CDC0B3E5F0C586CC3F9F219D0493645B02C9A6A35D70D03472DAD605AA9FC6CC44AB4994203BDE99F304CB9A4A24257B716D518E19CD3159D3219Q5ODJ" TargetMode = "External"/>
	<Relationship Id="rId266" Type="http://schemas.openxmlformats.org/officeDocument/2006/relationships/hyperlink" Target="consultantplus://offline/ref=4CDC0B3E5F0C586CC3F9F219D0493645B02C9A6A35D70D03472DAD605AA9FC6CC44AB4994203BDE99F304CBAA4A24257B716D518E19CD3159D3219Q5ODJ" TargetMode = "External"/>
	<Relationship Id="rId267" Type="http://schemas.openxmlformats.org/officeDocument/2006/relationships/hyperlink" Target="consultantplus://offline/ref=4CDC0B3E5F0C586CC3F9F219D0493645B02C9A6A35D70D03472DAD605AA9FC6CC44AB4994203BDE99F304CB4A4A24257B716D518E19CD3159D3219Q5ODJ" TargetMode = "External"/>
	<Relationship Id="rId268" Type="http://schemas.openxmlformats.org/officeDocument/2006/relationships/hyperlink" Target="consultantplus://offline/ref=4CDC0B3E5F0C586CC3F9F219D0493645B02C9A6A35D70D03472DAD605AA9FC6CC44AB4994203BDE99F304DBCA4A24257B716D518E19CD3159D3219Q5ODJ" TargetMode = "External"/>
	<Relationship Id="rId269" Type="http://schemas.openxmlformats.org/officeDocument/2006/relationships/hyperlink" Target="consultantplus://offline/ref=4CDC0B3E5F0C586CC3F9F219D0493645B02C9A6A35D70D03472DAD605AA9FC6CC44AB4994203BDE99F304DB9A4A24257B716D518E19CD3159D3219Q5ODJ" TargetMode = "External"/>
	<Relationship Id="rId270" Type="http://schemas.openxmlformats.org/officeDocument/2006/relationships/hyperlink" Target="consultantplus://offline/ref=4CDC0B3E5F0C586CC3F9F219D0493645B02C9A6A35D70D03472DAD605AA9FC6CC44AB4994203BDE99F304DBBA4A24257B716D518E19CD3159D3219Q5ODJ" TargetMode = "External"/>
	<Relationship Id="rId271" Type="http://schemas.openxmlformats.org/officeDocument/2006/relationships/hyperlink" Target="consultantplus://offline/ref=4CDC0B3E5F0C586CC3F9EC14C6256C48B523CD6E3DD706531972F63D0DA0F63B9105B5D7040CA2E99A284CBCADQFO5J" TargetMode = "External"/>
	<Relationship Id="rId272" Type="http://schemas.openxmlformats.org/officeDocument/2006/relationships/hyperlink" Target="consultantplus://offline/ref=4CDC0B3E5F0C586CC3F9F219D0493645B02C9A6A34DE0B01472DAD605AA9FC6CC44AB4994203BDE99F364FBCA4A24257B716D518E19CD3159D3219Q5ODJ" TargetMode = "External"/>
	<Relationship Id="rId273" Type="http://schemas.openxmlformats.org/officeDocument/2006/relationships/image" Target="media/image8.wmf"/>
	<Relationship Id="rId274" Type="http://schemas.openxmlformats.org/officeDocument/2006/relationships/hyperlink" Target="consultantplus://offline/ref=4CDC0B3E5F0C586CC3F9EC14C6256C48B023C2653CDF06531972F63D0DA0F63B9105B5D7040CA2E99A284CBCADQFO5J"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16.12.2013 N 517-пп
(ред. от 06.02.2023)
"Об утверждении государственной программы Белгородской области "Развитие водного и лесного хозяйства Белгородской области, охрана окружающей среды"</dc:title>
  <dcterms:created xsi:type="dcterms:W3CDTF">2023-05-22T09:14:12Z</dcterms:created>
</cp:coreProperties>
</file>